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93" w:h="2861" w:wrap="around" w:vAnchor="text" w:hAnchor="margin" w:x="85" w:y="723"/>
        <w:widowControl w:val="0"/>
        <w:keepNext w:val="0"/>
        <w:keepLines w:val="0"/>
        <w:shd w:val="clear" w:color="auto" w:fill="auto"/>
        <w:bidi w:val="0"/>
        <w:spacing w:before="0" w:after="0" w:line="278" w:lineRule="exact"/>
        <w:ind w:left="4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893" w:h="2861" w:wrap="around" w:vAnchor="text" w:hAnchor="margin" w:x="85" w:y="72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93" w:h="2861" w:wrap="around" w:vAnchor="text" w:hAnchor="margin" w:x="85" w:y="723"/>
        <w:widowControl w:val="0"/>
        <w:keepNext w:val="0"/>
        <w:keepLines w:val="0"/>
        <w:shd w:val="clear" w:color="auto" w:fill="auto"/>
        <w:bidi w:val="0"/>
        <w:jc w:val="left"/>
        <w:spacing w:before="0" w:after="0" w:line="566" w:lineRule="exact"/>
        <w:ind w:left="40" w:right="2260" w:firstLine="0"/>
      </w:pPr>
      <w:r>
        <w:rPr>
          <w:rStyle w:val="CharStyle8"/>
          <w:spacing w:val="0"/>
        </w:rPr>
        <w:t>13.11.2017 №06/12963 На № б/н, б/д</w:t>
      </w:r>
    </w:p>
    <w:p>
      <w:pPr>
        <w:pStyle w:val="Style3"/>
        <w:widowControl w:val="0"/>
        <w:keepNext w:val="0"/>
        <w:keepLines w:val="0"/>
        <w:shd w:val="clear" w:color="auto" w:fill="auto"/>
        <w:bidi w:val="0"/>
        <w:spacing w:before="244" w:after="442"/>
        <w:ind w:left="340" w:right="0" w:firstLine="0"/>
      </w:pPr>
      <w:r>
        <w:rPr>
          <w:lang w:val="ru-RU" w:eastAsia="ru-RU" w:bidi="ru-RU"/>
          <w:w w:val="100"/>
          <w:spacing w:val="0"/>
          <w:color w:val="000000"/>
          <w:position w:val="0"/>
        </w:rPr>
        <w:t>ФЕДЕРАЛЬНАЯ АНТИМОНОПОЛЬНАЯ СЛУЖБА</w:t>
      </w:r>
    </w:p>
    <w:p>
      <w:pPr>
        <w:pStyle w:val="Style7"/>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Государственное бюджетное учреждение Республики Крым «Центр спортивной подготовки сборных команд Республики Крым»</w:t>
      </w:r>
    </w:p>
    <w:p>
      <w:pPr>
        <w:pStyle w:val="Style7"/>
        <w:widowControl w:val="0"/>
        <w:keepNext w:val="0"/>
        <w:keepLines w:val="0"/>
        <w:shd w:val="clear" w:color="auto" w:fill="auto"/>
        <w:bidi w:val="0"/>
        <w:jc w:val="left"/>
        <w:spacing w:before="0" w:after="300"/>
        <w:ind w:left="0" w:right="300" w:firstLine="0"/>
      </w:pPr>
      <w:r>
        <w:rPr>
          <w:lang w:val="ru-RU" w:eastAsia="ru-RU" w:bidi="ru-RU"/>
          <w:w w:val="100"/>
          <w:spacing w:val="0"/>
          <w:color w:val="000000"/>
          <w:position w:val="0"/>
        </w:rPr>
        <w:t>295011, Республика Крым, г. Симферополь, ул. Пушкина, д. 46</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1320" w:firstLine="0"/>
      </w:pPr>
      <w:r>
        <w:rPr>
          <w:lang w:val="ru-RU" w:eastAsia="ru-RU" w:bidi="ru-RU"/>
          <w:w w:val="100"/>
          <w:spacing w:val="0"/>
          <w:color w:val="000000"/>
          <w:position w:val="0"/>
        </w:rPr>
        <w:t>Комитет конкурентной политики Республики Крым 295022, Республика Крым, г. Симферополь,</w:t>
      </w:r>
    </w:p>
    <w:p>
      <w:pPr>
        <w:pStyle w:val="Style7"/>
        <w:widowControl w:val="0"/>
        <w:keepNext w:val="0"/>
        <w:keepLines w:val="0"/>
        <w:shd w:val="clear" w:color="auto" w:fill="auto"/>
        <w:bidi w:val="0"/>
        <w:jc w:val="left"/>
        <w:spacing w:before="0" w:after="300"/>
        <w:ind w:left="4980" w:right="0" w:firstLine="0"/>
      </w:pPr>
      <w:r>
        <w:rPr>
          <w:lang w:val="ru-RU" w:eastAsia="ru-RU" w:bidi="ru-RU"/>
          <w:w w:val="100"/>
          <w:spacing w:val="0"/>
          <w:color w:val="000000"/>
          <w:position w:val="0"/>
        </w:rPr>
        <w:t>ул. Кечкеметская, д. 198 (1 этаж)</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«Оптиум»</w:t>
      </w:r>
    </w:p>
    <w:p>
      <w:pPr>
        <w:pStyle w:val="Style7"/>
        <w:widowControl w:val="0"/>
        <w:keepNext w:val="0"/>
        <w:keepLines w:val="0"/>
        <w:shd w:val="clear" w:color="auto" w:fill="auto"/>
        <w:bidi w:val="0"/>
        <w:jc w:val="left"/>
        <w:spacing w:before="0" w:after="304"/>
        <w:ind w:left="4980" w:right="1000" w:firstLine="0"/>
      </w:pPr>
      <w:r>
        <w:rPr>
          <w:lang w:val="ru-RU" w:eastAsia="ru-RU" w:bidi="ru-RU"/>
          <w:w w:val="100"/>
          <w:spacing w:val="0"/>
          <w:color w:val="000000"/>
          <w:position w:val="0"/>
        </w:rPr>
        <w:t>660021, г. Красноярск, ул. Дубровинского, д. 110, офис 203</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left"/>
        <w:spacing w:before="0" w:after="281" w:line="317" w:lineRule="exact"/>
        <w:ind w:left="4980" w:right="680" w:firstLine="0"/>
      </w:pPr>
      <w:r>
        <w:rPr>
          <w:lang w:val="ru-RU" w:eastAsia="ru-RU" w:bidi="ru-RU"/>
          <w:w w:val="100"/>
          <w:spacing w:val="0"/>
          <w:color w:val="000000"/>
          <w:position w:val="0"/>
        </w:rPr>
        <w:t>АО «Электронные торговые системы» 123317, г. Москва, ул. Тестовская, д. 10, этаж 25</w:t>
      </w:r>
    </w:p>
    <w:p>
      <w:pPr>
        <w:pStyle w:val="Style11"/>
        <w:widowControl w:val="0"/>
        <w:keepNext w:val="0"/>
        <w:keepLines w:val="0"/>
        <w:shd w:val="clear" w:color="auto" w:fill="auto"/>
        <w:bidi w:val="0"/>
        <w:spacing w:before="0" w:after="245"/>
        <w:ind w:left="0" w:right="20" w:firstLine="0"/>
      </w:pPr>
      <w:r>
        <w:rPr>
          <w:lang w:val="ru-RU" w:eastAsia="ru-RU" w:bidi="ru-RU"/>
          <w:w w:val="100"/>
          <w:spacing w:val="0"/>
          <w:color w:val="000000"/>
          <w:position w:val="0"/>
        </w:rPr>
        <w:t>Решение по делу №06/4239-17 о нарушении законодательства Российской Федерации о контрактной системе в сфере закупок</w:t>
      </w:r>
    </w:p>
    <w:p>
      <w:pPr>
        <w:pStyle w:val="Style7"/>
        <w:tabs>
          <w:tab w:leader="none" w:pos="8015" w:val="left"/>
        </w:tabs>
        <w:widowControl w:val="0"/>
        <w:keepNext w:val="0"/>
        <w:keepLines w:val="0"/>
        <w:shd w:val="clear" w:color="auto" w:fill="auto"/>
        <w:bidi w:val="0"/>
        <w:jc w:val="both"/>
        <w:spacing w:before="0" w:after="73" w:line="260" w:lineRule="exact"/>
        <w:ind w:left="340" w:right="0" w:firstLine="0"/>
      </w:pPr>
      <w:r>
        <w:rPr>
          <w:lang w:val="ru-RU" w:eastAsia="ru-RU" w:bidi="ru-RU"/>
          <w:w w:val="100"/>
          <w:spacing w:val="0"/>
          <w:color w:val="000000"/>
          <w:position w:val="0"/>
        </w:rPr>
        <w:t>10.11.2017</w:t>
        <w:tab/>
        <w:t>г. Симферополь</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w:t>
      </w:r>
      <w:r>
        <w:br w:type="page"/>
      </w:r>
    </w:p>
    <w:p>
      <w:pPr>
        <w:pStyle w:val="Style7"/>
        <w:widowControl w:val="0"/>
        <w:keepNext w:val="0"/>
        <w:keepLines w:val="0"/>
        <w:shd w:val="clear" w:color="auto" w:fill="auto"/>
        <w:bidi w:val="0"/>
        <w:jc w:val="left"/>
        <w:spacing w:before="0" w:after="0"/>
        <w:ind w:left="860" w:right="5180"/>
      </w:pPr>
      <w:r>
        <w:rPr>
          <w:lang w:val="ru-RU" w:eastAsia="ru-RU" w:bidi="ru-RU"/>
          <w:w w:val="100"/>
          <w:spacing w:val="0"/>
          <w:color w:val="000000"/>
          <w:position w:val="0"/>
        </w:rPr>
        <w:t>Крымского УФАС России Н. П. Казаковой члена Комиссии:</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Уполномоченного органа И. В. Хованского (по доверенности),</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Заказчика И. Н. Петренко (по доверенности), представители Заявителя на заседание Комиссии не явились, - рассмотрев жалобу Заявителя б/н, б/д (вх. №4800/09 от 07.11.2017) на действия Единой комиссии Уполномоченного органа при проведении аукциона в электронной форме «Выполнение строительно-монтажных работ на объекте: «Реконструкция объектов Государственного бюджетного учреждения Республики Крым «Центр спортивной подготовки сборных команд Республики Крым»» (извещение №0175200000417000431)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по необоснованному отклонению заявки Заявителя (порядковый номер «1») и не допуску Заявителя к дальнейшему участию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№06/12682,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представитель Уполномоченного органа не согласился с доводами Заявителя и сообщил, что при проведении Аукциона Заказчик, Единая комиссия Уполномоченного органа действовали в соответствии с положениями Закона о контрактной системе.</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26.09.2017, изменения - 05.10.2017;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- 168 416 080,00 рублей;</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23.10.2017 08:00, дата окончания срока рассмотрения первых частей заявок участников: 30.10.2017, дата проведения Аукциона: 02.11.2017;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2 заявки, из них по результатам рассмотрения первых частей заявок участников обе заявки признаны несоответствующими требованиям документации об Аукционе, в том числе и заявка под порядковым номером «1» - Заявитель;</w:t>
      </w:r>
    </w:p>
    <w:p>
      <w:pPr>
        <w:pStyle w:val="Style7"/>
        <w:numPr>
          <w:ilvl w:val="0"/>
          <w:numId w:val="3"/>
        </w:numPr>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 xml:space="preserve"> Аукцион признан несостоявшимся.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Единая комиссия Уполномоченного органа необоснованно отклонила первую часть его заявки (под порядковым номером «1 ») и не допустила Заявителя к дальнейшему участию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 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 (часть 3 статьи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указанную в одном из следующих подпунктов информацию:</w:t>
      </w:r>
    </w:p>
    <w:p>
      <w:pPr>
        <w:pStyle w:val="Style7"/>
        <w:tabs>
          <w:tab w:leader="none" w:pos="129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w:t>
        <w:tab/>
        <w:t>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w:t>
      </w:r>
      <w:r>
        <w:br w:type="page"/>
      </w:r>
    </w:p>
    <w:p>
      <w:pPr>
        <w:pStyle w:val="Style7"/>
        <w:widowControl w:val="0"/>
        <w:keepNext w:val="0"/>
        <w:keepLines w:val="0"/>
        <w:shd w:val="clear" w:color="auto" w:fill="auto"/>
        <w:bidi w:val="0"/>
        <w:jc w:val="both"/>
        <w:spacing w:before="0" w:after="0"/>
        <w:ind w:left="20" w:right="140" w:firstLine="0"/>
      </w:pPr>
      <w:r>
        <w:rPr>
          <w:lang w:val="ru-RU" w:eastAsia="ru-RU" w:bidi="ru-RU"/>
          <w:w w:val="100"/>
          <w:spacing w:val="0"/>
          <w:color w:val="000000"/>
          <w:position w:val="0"/>
        </w:rPr>
        <w:t>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tabs>
          <w:tab w:leader="none" w:pos="1321" w:val="left"/>
        </w:tabs>
        <w:widowControl w:val="0"/>
        <w:keepNext w:val="0"/>
        <w:keepLines w:val="0"/>
        <w:shd w:val="clear" w:color="auto" w:fill="auto"/>
        <w:bidi w:val="0"/>
        <w:jc w:val="both"/>
        <w:spacing w:before="0" w:after="0"/>
        <w:ind w:left="20" w:right="140" w:firstLine="860"/>
      </w:pPr>
      <w:r>
        <w:rPr>
          <w:lang w:val="ru-RU" w:eastAsia="ru-RU" w:bidi="ru-RU"/>
          <w:w w:val="100"/>
          <w:spacing w:val="0"/>
          <w:color w:val="000000"/>
          <w:position w:val="0"/>
        </w:rPr>
        <w:t>б)</w:t>
        <w:tab/>
        <w:t>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4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5"/>
        </w:numPr>
        <w:widowControl w:val="0"/>
        <w:keepNext w:val="0"/>
        <w:keepLines w:val="0"/>
        <w:shd w:val="clear" w:color="auto" w:fill="auto"/>
        <w:bidi w:val="0"/>
        <w:jc w:val="both"/>
        <w:spacing w:before="0" w:after="0"/>
        <w:ind w:left="20" w:right="14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5"/>
        </w:numPr>
        <w:widowControl w:val="0"/>
        <w:keepNext w:val="0"/>
        <w:keepLines w:val="0"/>
        <w:shd w:val="clear" w:color="auto" w:fill="auto"/>
        <w:bidi w:val="0"/>
        <w:jc w:val="both"/>
        <w:spacing w:before="0" w:after="0"/>
        <w:ind w:left="20" w:right="14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ind w:left="20" w:right="14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3"/>
        <w:framePr w:h="210" w:vSpace="53" w:wrap="around" w:vAnchor="text" w:hAnchor="margin" w:x="7199" w:y="971"/>
        <w:widowControl w:val="0"/>
        <w:keepNext w:val="0"/>
        <w:keepLines w:val="0"/>
        <w:shd w:val="clear" w:color="auto" w:fill="auto"/>
        <w:bidi w:val="0"/>
        <w:jc w:val="left"/>
        <w:spacing w:before="0" w:after="0" w:line="210" w:lineRule="exact"/>
        <w:ind w:left="100" w:right="0" w:firstLine="0"/>
      </w:pPr>
      <w:r>
        <w:rPr>
          <w:rStyle w:val="CharStyle4"/>
          <w:b/>
          <w:bCs/>
          <w:spacing w:val="0"/>
        </w:rPr>
        <w:t>Заявка № 1</w:t>
      </w:r>
    </w:p>
    <w:p>
      <w:pPr>
        <w:pStyle w:val="Style7"/>
        <w:tabs>
          <w:tab w:leader="underscore" w:pos="10302" w:val="left"/>
        </w:tabs>
        <w:widowControl w:val="0"/>
        <w:keepNext w:val="0"/>
        <w:keepLines w:val="0"/>
        <w:shd w:val="clear" w:color="auto" w:fill="auto"/>
        <w:bidi w:val="0"/>
        <w:jc w:val="both"/>
        <w:spacing w:before="0" w:after="0"/>
        <w:ind w:left="20" w:right="140" w:firstLine="860"/>
      </w:pPr>
      <w:r>
        <w:rPr>
          <w:lang w:val="ru-RU" w:eastAsia="ru-RU" w:bidi="ru-RU"/>
          <w:w w:val="100"/>
          <w:spacing w:val="0"/>
          <w:color w:val="000000"/>
          <w:position w:val="0"/>
        </w:rPr>
        <w:t xml:space="preserve">Согласно Протоколу рассмотрения первых частей заявок на участие в электронном аукционе от 30.10.2017 №0175200000417000431-1-1 (далее - Протокол </w:t>
      </w:r>
      <w:r>
        <w:rPr>
          <w:rStyle w:val="CharStyle13"/>
        </w:rPr>
        <w:t>рассмотрения) заявка под порядковым номером «1» отклонена по причине: «...</w:t>
      </w:r>
      <w:r>
        <w:rPr>
          <w:lang w:val="ru-RU" w:eastAsia="ru-RU" w:bidi="ru-RU"/>
          <w:w w:val="100"/>
          <w:spacing w:val="0"/>
          <w:color w:val="000000"/>
          <w:position w:val="0"/>
        </w:rPr>
        <w:tab/>
      </w:r>
    </w:p>
    <w:p>
      <w:pPr>
        <w:pStyle w:val="Style3"/>
        <w:widowControl w:val="0"/>
        <w:keepNext w:val="0"/>
        <w:keepLines w:val="0"/>
        <w:shd w:val="clear" w:color="auto" w:fill="auto"/>
        <w:bidi w:val="0"/>
        <w:jc w:val="both"/>
        <w:spacing w:before="0" w:after="0" w:line="230" w:lineRule="exact"/>
        <w:ind w:left="20" w:right="0" w:firstLine="0"/>
      </w:pPr>
      <w:r>
        <w:rPr>
          <w:rStyle w:val="CharStyle14"/>
          <w:b/>
          <w:bCs/>
        </w:rPr>
        <w:t>Порядковый номер заявки</w:t>
      </w:r>
    </w:p>
    <w:p>
      <w:pPr>
        <w:pStyle w:val="Style3"/>
        <w:framePr w:h="216" w:vSpace="206" w:wrap="around" w:vAnchor="text" w:hAnchor="margin" w:x="164" w:y="145"/>
        <w:widowControl w:val="0"/>
        <w:keepNext w:val="0"/>
        <w:keepLines w:val="0"/>
        <w:shd w:val="clear" w:color="auto" w:fill="auto"/>
        <w:bidi w:val="0"/>
        <w:jc w:val="left"/>
        <w:spacing w:before="0" w:after="0" w:line="210" w:lineRule="exact"/>
        <w:ind w:left="0" w:right="0" w:firstLine="0"/>
      </w:pPr>
      <w:r>
        <w:rPr>
          <w:rStyle w:val="CharStyle4"/>
          <w:b/>
          <w:bCs/>
          <w:spacing w:val="0"/>
        </w:rPr>
        <w:t>Статус допуска участника</w:t>
      </w:r>
    </w:p>
    <w:p>
      <w:pPr>
        <w:pStyle w:val="Style15"/>
        <w:widowControl w:val="0"/>
        <w:keepNext w:val="0"/>
        <w:keepLines w:val="0"/>
        <w:shd w:val="clear" w:color="auto" w:fill="auto"/>
        <w:bidi w:val="0"/>
        <w:spacing w:before="0" w:after="0"/>
        <w:ind w:left="2680" w:right="20" w:firstLine="0"/>
      </w:pPr>
      <w:r>
        <w:rPr>
          <w:lang w:val="ru-RU" w:eastAsia="ru-RU" w:bidi="ru-RU"/>
          <w:w w:val="100"/>
          <w:spacing w:val="0"/>
          <w:color w:val="000000"/>
          <w:position w:val="0"/>
        </w:rPr>
        <w:t xml:space="preserve">Отказ в допуске к участию в электронном </w:t>
      </w:r>
      <w:r>
        <w:rPr>
          <w:rStyle w:val="CharStyle17"/>
        </w:rPr>
        <w:t>аукционе (далее - Отказ в допуске)</w:t>
      </w:r>
    </w:p>
    <w:p>
      <w:pPr>
        <w:pStyle w:val="Style3"/>
        <w:widowControl w:val="0"/>
        <w:keepNext w:val="0"/>
        <w:keepLines w:val="0"/>
        <w:shd w:val="clear" w:color="auto" w:fill="auto"/>
        <w:bidi w:val="0"/>
        <w:jc w:val="both"/>
        <w:spacing w:before="0" w:after="0" w:line="230" w:lineRule="exact"/>
        <w:ind w:left="20" w:right="0" w:firstLine="0"/>
      </w:pPr>
      <w:r>
        <w:rPr>
          <w:rStyle w:val="CharStyle14"/>
          <w:b/>
          <w:bCs/>
        </w:rPr>
        <w:t>Обоснование принятого решения</w:t>
      </w:r>
    </w:p>
    <w:p>
      <w:pPr>
        <w:pStyle w:val="Style15"/>
        <w:numPr>
          <w:ilvl w:val="0"/>
          <w:numId w:val="7"/>
        </w:numPr>
        <w:tabs>
          <w:tab w:leader="none" w:pos="827" w:val="left"/>
        </w:tabs>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В соответствии с п.1 ч.4 ст. 67 Закона 44-ФЗ, а именно: не предоставление в первой части заявки участника информации, предусмотренной п.п. б) п.3</w:t>
      </w:r>
      <w:r>
        <w:fldChar w:fldCharType="begin"/>
      </w:r>
      <w:r>
        <w:rPr>
          <w:color w:val="000000"/>
        </w:rPr>
        <w:instrText> HYPERLINK "file:///C:/Users/Р°Р»РµСЃСЏ/Downloads/РџСЂРѕС‚РѕРєРѕР»%20РїРµСЂРІС‹Рµ%20С‡Р°СЃС‚Рё%200175200000417000431.doc%23Par1316" </w:instrText>
      </w:r>
      <w:r>
        <w:fldChar w:fldCharType="separate"/>
      </w:r>
      <w:r>
        <w:rPr>
          <w:rStyle w:val="Hyperlink"/>
          <w:lang w:val="ru-RU" w:eastAsia="ru-RU" w:bidi="ru-RU"/>
          <w:w w:val="100"/>
          <w:spacing w:val="0"/>
          <w:position w:val="0"/>
        </w:rPr>
        <w:t xml:space="preserve"> </w:t>
      </w:r>
      <w:r>
        <w:rPr>
          <w:rStyle w:val="Hyperlink"/>
        </w:rPr>
        <w:t>ч.3 ст. 66</w:t>
      </w:r>
      <w:r>
        <w:rPr>
          <w:rStyle w:val="Hyperlink"/>
        </w:rPr>
        <w:t xml:space="preserve"> </w:t>
      </w:r>
      <w:r>
        <w:fldChar w:fldCharType="end"/>
      </w:r>
      <w:r>
        <w:rPr>
          <w:lang w:val="ru-RU" w:eastAsia="ru-RU" w:bidi="ru-RU"/>
          <w:w w:val="100"/>
          <w:spacing w:val="0"/>
          <w:color w:val="000000"/>
          <w:position w:val="0"/>
        </w:rPr>
        <w:t xml:space="preserve">Закона №44-ФЗ, п.1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 а именно:</w:t>
      </w:r>
    </w:p>
    <w:p>
      <w:pPr>
        <w:pStyle w:val="Style15"/>
        <w:widowControl w:val="0"/>
        <w:keepNext w:val="0"/>
        <w:keepLines w:val="0"/>
        <w:shd w:val="clear" w:color="auto" w:fill="auto"/>
        <w:bidi w:val="0"/>
        <w:jc w:val="both"/>
        <w:spacing w:before="0" w:after="0" w:line="269" w:lineRule="exact"/>
        <w:ind w:left="20" w:right="20" w:firstLine="560"/>
      </w:pPr>
      <w:r>
        <w:rPr>
          <w:lang w:val="ru-RU" w:eastAsia="ru-RU" w:bidi="ru-RU"/>
          <w:w w:val="100"/>
          <w:spacing w:val="0"/>
          <w:color w:val="000000"/>
          <w:position w:val="0"/>
        </w:rPr>
        <w:t xml:space="preserve">Согласно части 1 раздела VI документации об электронном аукционе: предлог </w:t>
      </w:r>
      <w:r>
        <w:rPr>
          <w:rStyle w:val="CharStyle18"/>
        </w:rPr>
        <w:t xml:space="preserve">«до» </w:t>
      </w:r>
      <w:r>
        <w:rPr>
          <w:rStyle w:val="CharStyle17"/>
        </w:rPr>
        <w:t xml:space="preserve">установленный перед числовым значением - участникам закупки </w:t>
      </w:r>
      <w:r>
        <w:rPr>
          <w:rStyle w:val="CharStyle21"/>
        </w:rPr>
        <w:t>необходимо предоставить в</w:t>
      </w:r>
      <w:r>
        <w:br w:type="page"/>
      </w:r>
    </w:p>
    <w:p>
      <w:pPr>
        <w:pStyle w:val="Style15"/>
        <w:widowControl w:val="0"/>
        <w:keepNext w:val="0"/>
        <w:keepLines w:val="0"/>
        <w:shd w:val="clear" w:color="auto" w:fill="auto"/>
        <w:bidi w:val="0"/>
        <w:jc w:val="left"/>
        <w:spacing w:before="0" w:after="0" w:line="274" w:lineRule="exact"/>
        <w:ind w:left="20" w:right="0" w:firstLine="0"/>
      </w:pPr>
      <w:r>
        <w:rPr>
          <w:rStyle w:val="CharStyle18"/>
        </w:rPr>
        <w:t>заявке конкретное значение</w:t>
      </w:r>
      <w:r>
        <w:rPr>
          <w:lang w:val="ru-RU" w:eastAsia="ru-RU" w:bidi="ru-RU"/>
          <w:w w:val="100"/>
          <w:spacing w:val="0"/>
          <w:color w:val="000000"/>
          <w:position w:val="0"/>
        </w:rPr>
        <w:t>, не более установленного, если не указано иное.</w:t>
      </w:r>
    </w:p>
    <w:p>
      <w:pPr>
        <w:pStyle w:val="Style15"/>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 xml:space="preserve">Вместе с тем, разделом </w:t>
      </w:r>
      <w:r>
        <w:rPr>
          <w:lang w:val="en-US" w:eastAsia="en-US" w:bidi="en-US"/>
          <w:w w:val="100"/>
          <w:spacing w:val="0"/>
          <w:color w:val="000000"/>
          <w:position w:val="0"/>
        </w:rPr>
        <w:t xml:space="preserve">VI </w:t>
      </w:r>
      <w:r>
        <w:rPr>
          <w:lang w:val="ru-RU" w:eastAsia="ru-RU" w:bidi="ru-RU"/>
          <w:w w:val="100"/>
          <w:spacing w:val="0"/>
          <w:color w:val="000000"/>
          <w:position w:val="0"/>
        </w:rPr>
        <w:t>документации об электронном аукционе предусмотрено, что значения (в том числе требования, характеристики), выделенные квадратными скобками «[» «]» либо прямо указанные как «неизменный показатель», либо являющиеся обозначением фракции товара, либо температурой испытания товара, либо «норма» показателя согласно требований государственного стандарта, участник закупки изменять не должен, наименование показателя установленное Заказчиком указывается в неизменном виде.</w:t>
      </w:r>
    </w:p>
    <w:p>
      <w:pPr>
        <w:pStyle w:val="Style15"/>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Однако, установленный Заказчиком по номенклатурным позициям «АСФАЛЬТОБЕТОННЫЕ СМЕСИ ГОРЯЧИЕ КРУПНОЗЕРНИСТЫЕ ЩЕБЕНОЧНЫЕ ДЛЯ ПЛОТНОГО АСФАЛЬТОБЕТОНА, МАРКА II ГОСТ 9128-2013»; «АСФАЛЬТОБЕТОННЫЕ СМЕСИ ГОРЯЧИЕ МЕЛКОЗЕРНИСТЫЕ ЩЕБЕНОЧНЫЕ, ПЕСЧАНЫЕ ДЛЯ ПЛОТНОГО АСФАЛЬТОБЕТОНА, МАРКА II ГОСТ 9128-2013»; «АСФАЛЬТОБЕТОННЫЕ СМЕСИ ДЛЯ ПЛОТНОГО АСФАЛЬТОБЕТОНА ГОСТ 9128-2009» показатель «</w:t>
      </w:r>
      <w:r>
        <w:rPr>
          <w:rStyle w:val="CharStyle17"/>
        </w:rPr>
        <w:t>Наибольший размер минеральных зерен в</w:t>
      </w:r>
      <w:r>
        <w:rPr>
          <w:lang w:val="ru-RU" w:eastAsia="ru-RU" w:bidi="ru-RU"/>
          <w:w w:val="100"/>
          <w:spacing w:val="0"/>
          <w:color w:val="000000"/>
          <w:position w:val="0"/>
        </w:rPr>
        <w:t xml:space="preserve"> </w:t>
      </w:r>
      <w:r>
        <w:rPr>
          <w:rStyle w:val="CharStyle17"/>
        </w:rPr>
        <w:t>смеси</w:t>
      </w:r>
      <w:r>
        <w:rPr>
          <w:lang w:val="ru-RU" w:eastAsia="ru-RU" w:bidi="ru-RU"/>
          <w:w w:val="100"/>
          <w:spacing w:val="0"/>
          <w:color w:val="000000"/>
          <w:position w:val="0"/>
        </w:rPr>
        <w:t xml:space="preserve">» не выделен квадратными скобками «[» «]», не указан как «неизменный показатель», не обозначен как фракция товара, либо температура испытания товара, либо «норма» показателя согласно требований государственного стандарта. В связи с чем, по данному показателю </w:t>
      </w:r>
      <w:r>
        <w:rPr>
          <w:rStyle w:val="CharStyle18"/>
        </w:rPr>
        <w:t>необходимо предоставить конкретное значение</w:t>
      </w:r>
      <w:r>
        <w:rPr>
          <w:lang w:val="ru-RU" w:eastAsia="ru-RU" w:bidi="ru-RU"/>
          <w:w w:val="100"/>
          <w:spacing w:val="0"/>
          <w:color w:val="000000"/>
          <w:position w:val="0"/>
        </w:rPr>
        <w:t>.</w:t>
      </w:r>
    </w:p>
    <w:p>
      <w:pPr>
        <w:pStyle w:val="Style15"/>
        <w:numPr>
          <w:ilvl w:val="0"/>
          <w:numId w:val="9"/>
        </w:numPr>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 xml:space="preserve"> В свою очередь по номенклатурной позиции «АСФАЛЬТОБЕТОННЫЕ СМЕСИ ГОРЯЧИЕ КРУПНОЗЕРНИСТЫЕ ЩЕБЕНОЧНЫЕ ДЛЯ ПЛОТНОГО АСФАЛЬТОБЕТОНА, МАРКА </w:t>
      </w:r>
      <w:r>
        <w:rPr>
          <w:lang w:val="en-US" w:eastAsia="en-US" w:bidi="en-US"/>
          <w:w w:val="100"/>
          <w:spacing w:val="0"/>
          <w:color w:val="000000"/>
          <w:position w:val="0"/>
        </w:rPr>
        <w:t xml:space="preserve">II </w:t>
      </w:r>
      <w:r>
        <w:rPr>
          <w:lang w:val="ru-RU" w:eastAsia="ru-RU" w:bidi="ru-RU"/>
          <w:w w:val="100"/>
          <w:spacing w:val="0"/>
          <w:color w:val="000000"/>
          <w:position w:val="0"/>
        </w:rPr>
        <w:t>ГОСТ 9128-2013» участником электронного аукциона предложен показатель «Наибольший размер минеральных зерен в смеси» со значением «</w:t>
      </w:r>
      <w:r>
        <w:rPr>
          <w:rStyle w:val="CharStyle18"/>
        </w:rPr>
        <w:t xml:space="preserve">до 40 мм </w:t>
      </w:r>
      <w:r>
        <w:rPr>
          <w:lang w:val="ru-RU" w:eastAsia="ru-RU" w:bidi="ru-RU"/>
          <w:w w:val="100"/>
          <w:spacing w:val="0"/>
          <w:color w:val="000000"/>
          <w:position w:val="0"/>
        </w:rPr>
        <w:t>(значение показателя указывается в неизменном виде в соответствии с требованиями инструкции)» (цитата из заявки);</w:t>
      </w:r>
    </w:p>
    <w:p>
      <w:pPr>
        <w:pStyle w:val="Style15"/>
        <w:numPr>
          <w:ilvl w:val="0"/>
          <w:numId w:val="9"/>
        </w:numPr>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 xml:space="preserve"> В свою очередь по номенклатурной позиции «АСФАЛЬТОБЕТОННЫЕ СМЕСИ ГОРЯЧИЕ МЕЛКОЗЕРНИСТЫЕ ЩЕБЕНОЧНЫЕ, ПЕСЧАНЫЕ ДЛЯ ПЛОТНОГО АСФАЛЬТОБЕТОНА, МАРКА II ГОСТ 9128-2013» участником электронного аукциона предложен показатель «Наибольший размер минеральных зерен в смеси» со значением «</w:t>
      </w:r>
      <w:r>
        <w:rPr>
          <w:rStyle w:val="CharStyle18"/>
        </w:rPr>
        <w:t xml:space="preserve">до 20 мм </w:t>
      </w:r>
      <w:r>
        <w:rPr>
          <w:lang w:val="ru-RU" w:eastAsia="ru-RU" w:bidi="ru-RU"/>
          <w:w w:val="100"/>
          <w:spacing w:val="0"/>
          <w:color w:val="000000"/>
          <w:position w:val="0"/>
        </w:rPr>
        <w:t>(значение показателя указывается в неизменном виде в соответствии с требованиями инструкции)» (цитата из заявки);</w:t>
      </w:r>
    </w:p>
    <w:p>
      <w:pPr>
        <w:pStyle w:val="Style15"/>
        <w:numPr>
          <w:ilvl w:val="0"/>
          <w:numId w:val="9"/>
        </w:numPr>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 xml:space="preserve"> В свою очередь по номенклатурной позиции «АСФАЛЬТОБЕТОННЫЕ СМЕСИ ДЛЯ ПЛОТНОГО АСФАЛЬТОБЕТОНА ГОСТ 9128-2009» участником электронного аукциона предложен показатель «Наибольший размер минеральных зерен в смеси» со значением «</w:t>
      </w:r>
      <w:r>
        <w:rPr>
          <w:rStyle w:val="CharStyle18"/>
        </w:rPr>
        <w:t xml:space="preserve">до 40 мм </w:t>
      </w:r>
      <w:r>
        <w:rPr>
          <w:lang w:val="ru-RU" w:eastAsia="ru-RU" w:bidi="ru-RU"/>
          <w:w w:val="100"/>
          <w:spacing w:val="0"/>
          <w:color w:val="000000"/>
          <w:position w:val="0"/>
        </w:rPr>
        <w:t>(значение показателя указывается в неизменном виде в соответствии с требованиями инструкции)» (цитата из заявки);</w:t>
      </w:r>
    </w:p>
    <w:p>
      <w:pPr>
        <w:pStyle w:val="Style15"/>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Таким образом, участником электронного аукциона не предоставлены конкретные значения в отношении товара, используемого при выполнении работ, по вышеуказанным номенклатурным позициям.</w:t>
      </w:r>
    </w:p>
    <w:p>
      <w:pPr>
        <w:pStyle w:val="Style15"/>
        <w:numPr>
          <w:ilvl w:val="0"/>
          <w:numId w:val="7"/>
        </w:numPr>
        <w:tabs>
          <w:tab w:leader="none" w:pos="914" w:val="left"/>
        </w:tabs>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 xml:space="preserve">В соответствии с п.2 ч.4 ст.67 Закона 44-ФЗ, а именно: несоответствие в первой части заявки участника информации, предусмотренной п.п. б) п.3 ч.3 ст.66 Закона №44-ФЗ, п.1.1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w:t>
      </w:r>
    </w:p>
    <w:p>
      <w:pPr>
        <w:pStyle w:val="Style15"/>
        <w:numPr>
          <w:ilvl w:val="0"/>
          <w:numId w:val="11"/>
        </w:numPr>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 xml:space="preserve"> Согласно части 1 раздела </w:t>
      </w:r>
      <w:r>
        <w:rPr>
          <w:lang w:val="en-US" w:eastAsia="en-US" w:bidi="en-US"/>
          <w:w w:val="100"/>
          <w:spacing w:val="0"/>
          <w:color w:val="000000"/>
          <w:position w:val="0"/>
        </w:rPr>
        <w:t xml:space="preserve">VI </w:t>
      </w:r>
      <w:r>
        <w:rPr>
          <w:lang w:val="ru-RU" w:eastAsia="ru-RU" w:bidi="ru-RU"/>
          <w:w w:val="100"/>
          <w:spacing w:val="0"/>
          <w:color w:val="000000"/>
          <w:position w:val="0"/>
        </w:rPr>
        <w:t>документации об электронном аукционе «при установлении требований к показателям, значения которых участники закупки менять не вправе, Заказчик использовал фразу «</w:t>
      </w:r>
      <w:r>
        <w:rPr>
          <w:rStyle w:val="CharStyle18"/>
        </w:rPr>
        <w:t>должен (-на, -но, -ны) быть</w:t>
      </w:r>
      <w:r>
        <w:rPr>
          <w:lang w:val="ru-RU" w:eastAsia="ru-RU" w:bidi="ru-RU"/>
          <w:w w:val="100"/>
          <w:spacing w:val="0"/>
          <w:color w:val="000000"/>
          <w:position w:val="0"/>
        </w:rPr>
        <w:t xml:space="preserve">», что означает </w:t>
      </w:r>
      <w:r>
        <w:rPr>
          <w:rStyle w:val="CharStyle17"/>
        </w:rPr>
        <w:t>необходимость предоставить в</w:t>
      </w:r>
      <w:r>
        <w:rPr>
          <w:lang w:val="ru-RU" w:eastAsia="ru-RU" w:bidi="ru-RU"/>
          <w:w w:val="100"/>
          <w:spacing w:val="0"/>
          <w:color w:val="000000"/>
          <w:position w:val="0"/>
        </w:rPr>
        <w:t xml:space="preserve"> </w:t>
      </w:r>
      <w:r>
        <w:rPr>
          <w:rStyle w:val="CharStyle17"/>
        </w:rPr>
        <w:t xml:space="preserve">заявке значение (-я) показателя (-ей), следующих за указанной фразой, </w:t>
      </w:r>
      <w:r>
        <w:rPr>
          <w:rStyle w:val="CharStyle21"/>
        </w:rPr>
        <w:t>без изменений</w:t>
      </w:r>
      <w:r>
        <w:rPr>
          <w:rStyle w:val="CharStyle17"/>
        </w:rPr>
        <w:t>,</w:t>
      </w:r>
      <w:r>
        <w:rPr>
          <w:lang w:val="ru-RU" w:eastAsia="ru-RU" w:bidi="ru-RU"/>
          <w:w w:val="100"/>
          <w:spacing w:val="0"/>
          <w:color w:val="000000"/>
          <w:position w:val="0"/>
        </w:rPr>
        <w:t xml:space="preserve"> т.е. без использования слов: «должен (-на, -но, -ны) быть» - данное правило является приоритетным в случае возникновения противоречия с другими правилами инструкции.» (цитата из инструкции по заполнению заявок на участие в электронном аукционе).</w:t>
      </w:r>
    </w:p>
    <w:p>
      <w:pPr>
        <w:pStyle w:val="Style15"/>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В свою очередь по номенклатурной позиции «КЛИНЬЯ ПЛАСТИКОВЫЕ МОНТАЖНЫЕ» участником электронного аукциона предложен показатель «Высота регулирования клиньями, мм» со значением «</w:t>
      </w:r>
      <w:r>
        <w:rPr>
          <w:rStyle w:val="CharStyle18"/>
        </w:rPr>
        <w:t>8 мм</w:t>
      </w:r>
      <w:r>
        <w:rPr>
          <w:lang w:val="ru-RU" w:eastAsia="ru-RU" w:bidi="ru-RU"/>
          <w:w w:val="100"/>
          <w:spacing w:val="0"/>
          <w:color w:val="000000"/>
          <w:position w:val="0"/>
        </w:rPr>
        <w:t>» (цитата из заявки) вместо требуемого заказчику «</w:t>
      </w:r>
      <w:r>
        <w:rPr>
          <w:rStyle w:val="CharStyle18"/>
        </w:rPr>
        <w:t xml:space="preserve">должна быть </w:t>
      </w:r>
      <w:r>
        <w:rPr>
          <w:rStyle w:val="CharStyle17"/>
        </w:rPr>
        <w:t>до 9</w:t>
      </w:r>
      <w:r>
        <w:rPr>
          <w:lang w:val="ru-RU" w:eastAsia="ru-RU" w:bidi="ru-RU"/>
          <w:w w:val="100"/>
          <w:spacing w:val="0"/>
          <w:color w:val="000000"/>
          <w:position w:val="0"/>
        </w:rPr>
        <w:t>».</w:t>
      </w:r>
    </w:p>
    <w:p>
      <w:pPr>
        <w:pStyle w:val="Style15"/>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15"/>
        <w:numPr>
          <w:ilvl w:val="0"/>
          <w:numId w:val="11"/>
        </w:numPr>
        <w:widowControl w:val="0"/>
        <w:keepNext w:val="0"/>
        <w:keepLines w:val="0"/>
        <w:shd w:val="clear" w:color="auto" w:fill="auto"/>
        <w:bidi w:val="0"/>
        <w:jc w:val="both"/>
        <w:spacing w:before="0" w:after="0" w:line="274" w:lineRule="exact"/>
        <w:ind w:left="20" w:right="20" w:firstLine="520"/>
      </w:pPr>
      <w:r>
        <w:rPr>
          <w:lang w:val="ru-RU" w:eastAsia="ru-RU" w:bidi="ru-RU"/>
          <w:w w:val="100"/>
          <w:spacing w:val="0"/>
          <w:color w:val="000000"/>
          <w:position w:val="0"/>
        </w:rPr>
        <w:t xml:space="preserve"> Согласно части 1 раздела </w:t>
      </w:r>
      <w:r>
        <w:rPr>
          <w:lang w:val="en-US" w:eastAsia="en-US" w:bidi="en-US"/>
          <w:w w:val="100"/>
          <w:spacing w:val="0"/>
          <w:color w:val="000000"/>
          <w:position w:val="0"/>
        </w:rPr>
        <w:t xml:space="preserve">VI </w:t>
      </w:r>
      <w:r>
        <w:rPr>
          <w:lang w:val="ru-RU" w:eastAsia="ru-RU" w:bidi="ru-RU"/>
          <w:w w:val="100"/>
          <w:spacing w:val="0"/>
          <w:color w:val="000000"/>
          <w:position w:val="0"/>
        </w:rPr>
        <w:t xml:space="preserve">документации об электронном аукционе символы скобки </w:t>
      </w:r>
      <w:r>
        <w:rPr>
          <w:rStyle w:val="CharStyle21"/>
        </w:rPr>
        <w:t xml:space="preserve">«(» «)» </w:t>
      </w:r>
      <w:r>
        <w:rPr>
          <w:rStyle w:val="CharStyle17"/>
        </w:rPr>
        <w:t>применяемые для выделения значений означают пояснение к значению перед скобками, и</w:t>
      </w:r>
      <w:r>
        <w:rPr>
          <w:lang w:val="ru-RU" w:eastAsia="ru-RU" w:bidi="ru-RU"/>
          <w:w w:val="100"/>
          <w:spacing w:val="0"/>
          <w:color w:val="000000"/>
          <w:position w:val="0"/>
        </w:rPr>
        <w:t xml:space="preserve"> </w:t>
      </w:r>
      <w:r>
        <w:rPr>
          <w:rStyle w:val="CharStyle18"/>
        </w:rPr>
        <w:t>указываются в заявке в неизменном виде</w:t>
      </w:r>
      <w:r>
        <w:rPr>
          <w:lang w:val="ru-RU" w:eastAsia="ru-RU" w:bidi="ru-RU"/>
          <w:w w:val="100"/>
          <w:spacing w:val="0"/>
          <w:color w:val="000000"/>
          <w:position w:val="0"/>
        </w:rPr>
        <w:t xml:space="preserve">, исключением является случай указания в скобках </w:t>
      </w:r>
      <w:r>
        <w:rPr>
          <w:rStyle w:val="CharStyle17"/>
        </w:rPr>
        <w:t>взаимоисключающих значений</w:t>
      </w:r>
      <w:r>
        <w:rPr>
          <w:lang w:val="ru-RU" w:eastAsia="ru-RU" w:bidi="ru-RU"/>
          <w:w w:val="100"/>
          <w:spacing w:val="0"/>
          <w:color w:val="000000"/>
          <w:position w:val="0"/>
        </w:rPr>
        <w:t xml:space="preserve"> относительно значения перед скобками - участникам закупки необходимо </w:t>
      </w:r>
      <w:r>
        <w:rPr>
          <w:rStyle w:val="CharStyle18"/>
        </w:rPr>
        <w:t xml:space="preserve">выбрать и предоставить в заявке одно из взаимоисключающих значений </w:t>
      </w:r>
      <w:r>
        <w:rPr>
          <w:lang w:val="ru-RU" w:eastAsia="ru-RU" w:bidi="ru-RU"/>
          <w:w w:val="100"/>
          <w:spacing w:val="0"/>
          <w:color w:val="000000"/>
          <w:position w:val="0"/>
        </w:rPr>
        <w:t>- данное правило является приоритетным в случае возникновения противоречия с другими правилами инструкции, кроме случаев описанных ниже.</w:t>
      </w:r>
    </w:p>
    <w:p>
      <w:pPr>
        <w:pStyle w:val="Style15"/>
        <w:widowControl w:val="0"/>
        <w:keepNext w:val="0"/>
        <w:keepLines w:val="0"/>
        <w:shd w:val="clear" w:color="auto" w:fill="auto"/>
        <w:bidi w:val="0"/>
        <w:jc w:val="both"/>
        <w:spacing w:before="0" w:after="0" w:line="274" w:lineRule="exact"/>
        <w:ind w:left="60" w:right="20" w:firstLine="520"/>
      </w:pPr>
      <w:r>
        <w:rPr>
          <w:lang w:val="ru-RU" w:eastAsia="ru-RU" w:bidi="ru-RU"/>
          <w:w w:val="100"/>
          <w:spacing w:val="0"/>
          <w:color w:val="000000"/>
          <w:position w:val="0"/>
        </w:rPr>
        <w:t>В соответствии с приложением №2 к разделу IV документации об электронном аукционе по номенклатурной позиции «ГВОЗДИ СТРОИТЕЛЬНЫЕ ГОСТ 4028-63, ГОСТ 283-75» установлен показатель «Размер» с требуемым значением «</w:t>
      </w:r>
      <w:r>
        <w:rPr>
          <w:rStyle w:val="CharStyle17"/>
        </w:rPr>
        <w:t>Диаметр (условный диаметр)</w:t>
      </w:r>
      <w:r>
        <w:rPr>
          <w:lang w:val="ru-RU" w:eastAsia="ru-RU" w:bidi="ru-RU"/>
          <w:w w:val="100"/>
          <w:spacing w:val="0"/>
          <w:color w:val="000000"/>
          <w:position w:val="0"/>
        </w:rPr>
        <w:t xml:space="preserve"> стержня строительных гвоздей, </w:t>
      </w:r>
      <w:r>
        <w:rPr>
          <w:lang w:val="en-US" w:eastAsia="en-US" w:bidi="en-US"/>
          <w:w w:val="100"/>
          <w:spacing w:val="0"/>
          <w:color w:val="000000"/>
          <w:position w:val="0"/>
        </w:rPr>
        <w:t xml:space="preserve">d, </w:t>
      </w:r>
      <w:r>
        <w:rPr>
          <w:lang w:val="ru-RU" w:eastAsia="ru-RU" w:bidi="ru-RU"/>
          <w:w w:val="100"/>
          <w:spacing w:val="0"/>
          <w:color w:val="000000"/>
          <w:position w:val="0"/>
        </w:rPr>
        <w:t xml:space="preserve">1,8...2,5 мм»; по номенклатурной позиции «ЛЕСОМАТЕРИАЛЫ КРУГЛЫЕ ХВОЙНЫХ ПОРОД ДЛЯ СТРОИТЕЛЬСТВА» установлен показатель «Сучья» с требуемым значением «должны быть </w:t>
      </w:r>
      <w:r>
        <w:rPr>
          <w:rStyle w:val="CharStyle17"/>
        </w:rPr>
        <w:t>срезаны (обрублены)</w:t>
      </w:r>
      <w:r>
        <w:rPr>
          <w:lang w:val="ru-RU" w:eastAsia="ru-RU" w:bidi="ru-RU"/>
          <w:w w:val="100"/>
          <w:spacing w:val="0"/>
          <w:color w:val="000000"/>
          <w:position w:val="0"/>
        </w:rPr>
        <w:t xml:space="preserve"> вровень с поверхностью неокоренного бревна»</w:t>
      </w:r>
    </w:p>
    <w:p>
      <w:pPr>
        <w:pStyle w:val="Style15"/>
        <w:tabs>
          <w:tab w:leader="underscore" w:pos="10325" w:val="left"/>
        </w:tabs>
        <w:widowControl w:val="0"/>
        <w:keepNext w:val="0"/>
        <w:keepLines w:val="0"/>
        <w:shd w:val="clear" w:color="auto" w:fill="auto"/>
        <w:bidi w:val="0"/>
        <w:jc w:val="both"/>
        <w:spacing w:before="0" w:after="0" w:line="274" w:lineRule="exact"/>
        <w:ind w:left="60" w:right="20" w:firstLine="520"/>
      </w:pPr>
      <w:r>
        <w:rPr>
          <w:lang w:val="ru-RU" w:eastAsia="ru-RU" w:bidi="ru-RU"/>
          <w:w w:val="100"/>
          <w:spacing w:val="0"/>
          <w:color w:val="000000"/>
          <w:position w:val="0"/>
        </w:rPr>
        <w:t xml:space="preserve">На основании вышеуказанного положения раздела VI документации об электронном аукционе, ввиду того, что Заказчиком не определено в каких случаях объективно оценить символ скобки </w:t>
      </w:r>
      <w:r>
        <w:rPr>
          <w:rStyle w:val="CharStyle18"/>
        </w:rPr>
        <w:t xml:space="preserve">«(» «)» </w:t>
      </w:r>
      <w:r>
        <w:rPr>
          <w:lang w:val="ru-RU" w:eastAsia="ru-RU" w:bidi="ru-RU"/>
          <w:w w:val="100"/>
          <w:spacing w:val="0"/>
          <w:color w:val="000000"/>
          <w:position w:val="0"/>
        </w:rPr>
        <w:t>как пояснение к значению, а в каких случаях как указание взаимоисключающего значения, Единой комиссии невозможно установить соответствие предлагаемого участником значения «</w:t>
      </w:r>
      <w:r>
        <w:rPr>
          <w:rStyle w:val="CharStyle17"/>
        </w:rPr>
        <w:t>Условный диаметр</w:t>
      </w:r>
      <w:r>
        <w:rPr>
          <w:lang w:val="ru-RU" w:eastAsia="ru-RU" w:bidi="ru-RU"/>
          <w:w w:val="100"/>
          <w:spacing w:val="0"/>
          <w:color w:val="000000"/>
          <w:position w:val="0"/>
        </w:rPr>
        <w:t xml:space="preserve"> стержня строительных гвоздей, </w:t>
      </w:r>
      <w:r>
        <w:rPr>
          <w:lang w:val="en-US" w:eastAsia="en-US" w:bidi="en-US"/>
          <w:w w:val="100"/>
          <w:spacing w:val="0"/>
          <w:color w:val="000000"/>
          <w:position w:val="0"/>
        </w:rPr>
        <w:t xml:space="preserve">d, </w:t>
      </w:r>
      <w:r>
        <w:rPr>
          <w:lang w:val="ru-RU" w:eastAsia="ru-RU" w:bidi="ru-RU"/>
          <w:w w:val="100"/>
          <w:spacing w:val="0"/>
          <w:color w:val="000000"/>
          <w:position w:val="0"/>
        </w:rPr>
        <w:t>2 мм» (цитата из заявки) по номенклатурной позиции «ГВОЗДИ СТРОИТЕЛЬНЫЕ ГОСТ 4028-63, ГОСТ 283-75»; и предлагаемого значения «</w:t>
      </w:r>
      <w:r>
        <w:rPr>
          <w:rStyle w:val="CharStyle17"/>
        </w:rPr>
        <w:t>срезаны</w:t>
      </w:r>
      <w:r>
        <w:rPr>
          <w:lang w:val="ru-RU" w:eastAsia="ru-RU" w:bidi="ru-RU"/>
          <w:w w:val="100"/>
          <w:spacing w:val="0"/>
          <w:color w:val="000000"/>
          <w:position w:val="0"/>
        </w:rPr>
        <w:t xml:space="preserve"> вровень с поверхностью неокоренного бревна» (цитата из заявки) по номенклатурной позиции «ЛЕСОМАТЕРИАЛЫ КРУГЛЫЕ ХВОЙНЫХ ПОРОД ДЛЯ СТРОИТЕЛЬСТВА» </w:t>
      </w:r>
      <w:r>
        <w:rPr>
          <w:rStyle w:val="CharStyle17"/>
        </w:rPr>
        <w:t>требованиям документации об электронном аукционе.</w:t>
      </w:r>
      <w:r>
        <w:rPr>
          <w:lang w:val="ru-RU" w:eastAsia="ru-RU" w:bidi="ru-RU"/>
          <w:w w:val="100"/>
          <w:spacing w:val="0"/>
          <w:color w:val="000000"/>
          <w:position w:val="0"/>
        </w:rPr>
        <w:tab/>
      </w:r>
    </w:p>
    <w:p>
      <w:pPr>
        <w:pStyle w:val="Style22"/>
        <w:widowControl w:val="0"/>
        <w:keepNext/>
        <w:keepLines/>
        <w:shd w:val="clear" w:color="auto" w:fill="auto"/>
        <w:bidi w:val="0"/>
        <w:jc w:val="left"/>
        <w:spacing w:before="0" w:after="0"/>
        <w:ind w:left="60" w:right="0"/>
      </w:pPr>
      <w:bookmarkStart w:id="0" w:name="bookmark0"/>
      <w:r>
        <w:rPr>
          <w:lang w:val="ru-RU" w:eastAsia="ru-RU" w:bidi="ru-RU"/>
          <w:w w:val="100"/>
          <w:spacing w:val="0"/>
          <w:color w:val="000000"/>
          <w:position w:val="0"/>
        </w:rPr>
        <w:t>...» (цитата Протокола рассмотрения).</w:t>
      </w:r>
      <w:bookmarkEnd w:id="0"/>
    </w:p>
    <w:p>
      <w:pPr>
        <w:pStyle w:val="Style22"/>
        <w:tabs>
          <w:tab w:leader="underscore" w:pos="7279" w:val="left"/>
          <w:tab w:leader="underscore" w:pos="10325" w:val="left"/>
        </w:tabs>
        <w:widowControl w:val="0"/>
        <w:keepNext/>
        <w:keepLines/>
        <w:shd w:val="clear" w:color="auto" w:fill="auto"/>
        <w:bidi w:val="0"/>
        <w:jc w:val="left"/>
        <w:spacing w:before="0" w:after="0"/>
        <w:ind w:left="60" w:right="160"/>
      </w:pPr>
      <w:bookmarkStart w:id="1" w:name="bookmark1"/>
      <w:r>
        <w:rPr>
          <w:lang w:val="ru-RU" w:eastAsia="ru-RU" w:bidi="ru-RU"/>
          <w:w w:val="100"/>
          <w:spacing w:val="0"/>
          <w:color w:val="000000"/>
          <w:position w:val="0"/>
        </w:rPr>
        <w:t xml:space="preserve">Документация об Аукционе содержит следующие требования к товарам, </w:t>
      </w:r>
      <w:r>
        <w:rPr>
          <w:rStyle w:val="CharStyle24"/>
        </w:rPr>
        <w:t xml:space="preserve">используемым при выполнении работ: </w:t>
      </w:r>
      <w:r>
        <w:rPr>
          <w:rStyle w:val="CharStyle25"/>
        </w:rPr>
        <w:t>«...</w:t>
      </w:r>
      <w:r>
        <w:rPr>
          <w:rStyle w:val="CharStyle26"/>
        </w:rPr>
        <w:t xml:space="preserve"> </w:t>
        <w:tab/>
        <w:tab/>
      </w:r>
      <w:bookmarkEnd w:id="1"/>
    </w:p>
    <w:tbl>
      <w:tblPr>
        <w:tblOverlap w:val="never"/>
        <w:tblLayout w:type="fixed"/>
        <w:jc w:val="center"/>
      </w:tblPr>
      <w:tblGrid>
        <w:gridCol w:w="3269"/>
        <w:gridCol w:w="1982"/>
        <w:gridCol w:w="1987"/>
        <w:gridCol w:w="1416"/>
        <w:gridCol w:w="1714"/>
      </w:tblGrid>
      <w:tr>
        <w:trPr>
          <w:trHeight w:val="571" w:hRule="exact"/>
        </w:trPr>
        <w:tc>
          <w:tcPr>
            <w:shd w:val="clear" w:color="auto" w:fill="FFFFFF"/>
            <w:vMerge w:val="restart"/>
            <w:tcBorders>
              <w:left w:val="single" w:sz="4"/>
              <w:top w:val="single" w:sz="4"/>
            </w:tcBorders>
            <w:vAlign w:val="center"/>
          </w:tcPr>
          <w:p>
            <w:pPr>
              <w:pStyle w:val="Style15"/>
              <w:framePr w:w="1036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7"/>
              </w:rPr>
              <w:t>Наименование товара</w:t>
            </w:r>
          </w:p>
        </w:tc>
        <w:tc>
          <w:tcPr>
            <w:shd w:val="clear" w:color="auto" w:fill="FFFFFF"/>
            <w:vMerge w:val="restart"/>
            <w:tcBorders>
              <w:left w:val="single" w:sz="4"/>
              <w:top w:val="single" w:sz="4"/>
            </w:tcBorders>
            <w:vAlign w:val="center"/>
          </w:tcPr>
          <w:p>
            <w:pPr>
              <w:pStyle w:val="Style15"/>
              <w:framePr w:w="10368" w:wrap="notBeside" w:vAnchor="text" w:hAnchor="text" w:xAlign="center" w:y="1"/>
              <w:widowControl w:val="0"/>
              <w:keepNext w:val="0"/>
              <w:keepLines w:val="0"/>
              <w:shd w:val="clear" w:color="auto" w:fill="auto"/>
              <w:bidi w:val="0"/>
              <w:jc w:val="center"/>
              <w:spacing w:before="0" w:after="60" w:line="150" w:lineRule="exact"/>
              <w:ind w:left="0" w:right="0" w:firstLine="0"/>
            </w:pPr>
            <w:r>
              <w:rPr>
                <w:rStyle w:val="CharStyle27"/>
              </w:rPr>
              <w:t>Наименование</w:t>
            </w:r>
          </w:p>
          <w:p>
            <w:pPr>
              <w:pStyle w:val="Style15"/>
              <w:framePr w:w="10368" w:wrap="notBeside" w:vAnchor="text" w:hAnchor="text" w:xAlign="center" w:y="1"/>
              <w:widowControl w:val="0"/>
              <w:keepNext w:val="0"/>
              <w:keepLines w:val="0"/>
              <w:shd w:val="clear" w:color="auto" w:fill="auto"/>
              <w:bidi w:val="0"/>
              <w:jc w:val="center"/>
              <w:spacing w:after="0" w:line="150" w:lineRule="exact"/>
              <w:ind w:left="0" w:right="0" w:firstLine="0"/>
            </w:pPr>
            <w:r>
              <w:rPr>
                <w:rStyle w:val="CharStyle27"/>
              </w:rPr>
              <w:t>показателя</w:t>
            </w:r>
          </w:p>
        </w:tc>
        <w:tc>
          <w:tcPr>
            <w:shd w:val="clear" w:color="auto" w:fill="FFFFFF"/>
            <w:vMerge w:val="restart"/>
            <w:tcBorders>
              <w:left w:val="single" w:sz="4"/>
              <w:top w:val="single" w:sz="4"/>
            </w:tcBorders>
            <w:vAlign w:val="center"/>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360" w:right="0" w:hanging="140"/>
            </w:pPr>
            <w:r>
              <w:rPr>
                <w:rStyle w:val="CharStyle27"/>
              </w:rPr>
              <w:t>Требования к товарам, используемым при выполнении работ,</w:t>
            </w:r>
          </w:p>
        </w:tc>
        <w:tc>
          <w:tcPr>
            <w:shd w:val="clear" w:color="auto" w:fill="FFFFFF"/>
            <w:gridSpan w:val="2"/>
            <w:tcBorders>
              <w:left w:val="single" w:sz="4"/>
              <w:righ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27"/>
              </w:rPr>
              <w:t>Требования к товарам, используемым при выполнении работ, со значениями характеристик</w:t>
            </w:r>
          </w:p>
        </w:tc>
      </w:tr>
      <w:tr>
        <w:trPr>
          <w:trHeight w:val="197" w:hRule="exact"/>
        </w:trPr>
        <w:tc>
          <w:tcPr>
            <w:shd w:val="clear" w:color="auto" w:fill="FFFFFF"/>
            <w:vMerge/>
            <w:tcBorders>
              <w:left w:val="single" w:sz="4"/>
            </w:tcBorders>
            <w:vAlign w:val="center"/>
          </w:tcPr>
          <w:p>
            <w:pPr>
              <w:framePr w:w="10368" w:wrap="notBeside" w:vAnchor="text" w:hAnchor="text" w:xAlign="center" w:y="1"/>
            </w:pPr>
          </w:p>
        </w:tc>
        <w:tc>
          <w:tcPr>
            <w:shd w:val="clear" w:color="auto" w:fill="FFFFFF"/>
            <w:vMerge/>
            <w:tcBorders>
              <w:left w:val="single" w:sz="4"/>
            </w:tcBorders>
            <w:vAlign w:val="center"/>
          </w:tcPr>
          <w:p>
            <w:pPr>
              <w:framePr w:w="10368" w:wrap="notBeside" w:vAnchor="text" w:hAnchor="text" w:xAlign="center" w:y="1"/>
            </w:pPr>
          </w:p>
        </w:tc>
        <w:tc>
          <w:tcPr>
            <w:shd w:val="clear" w:color="auto" w:fill="FFFFFF"/>
            <w:vMerge/>
            <w:tcBorders>
              <w:left w:val="single" w:sz="4"/>
            </w:tcBorders>
            <w:vAlign w:val="center"/>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 максимальными</w:t>
            </w:r>
          </w:p>
        </w:tc>
        <w:tc>
          <w:tcPr>
            <w:shd w:val="clear" w:color="auto" w:fill="FFFFFF"/>
            <w:tcBorders>
              <w:left w:val="single" w:sz="4"/>
              <w:righ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7"/>
              </w:rPr>
              <w:t>- минимальными</w:t>
            </w:r>
          </w:p>
        </w:tc>
      </w:tr>
      <w:tr>
        <w:trPr>
          <w:trHeight w:val="192"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749" w:hRule="exact"/>
        </w:trPr>
        <w:tc>
          <w:tcPr>
            <w:shd w:val="clear" w:color="auto" w:fill="FFFFFF"/>
            <w:vMerge w:val="restart"/>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ГВОЗДИ СТРОИТЕЛЬНЫЕ ГОСТ 4028-63, ГОСТ 283-75</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7"/>
              </w:rPr>
              <w:t>Размер</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 xml:space="preserve">Диаметр (условный диаметр) стержня строительных гвоздей, </w:t>
            </w:r>
            <w:r>
              <w:rPr>
                <w:rStyle w:val="CharStyle27"/>
                <w:lang w:val="en-US" w:eastAsia="en-US" w:bidi="en-US"/>
              </w:rPr>
              <w:t xml:space="preserve">d, </w:t>
            </w:r>
            <w:r>
              <w:rPr>
                <w:rStyle w:val="CharStyle27"/>
              </w:rPr>
              <w:t>1,8... 2,5мм</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56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rPr>
              <w:t>Длина гвоздя, мм, с предельным отклонением</w:t>
            </w:r>
          </w:p>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lang w:val="en-US" w:eastAsia="en-US" w:bidi="en-US"/>
              </w:rPr>
              <w:t>±d</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32... 60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56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7"/>
              </w:rPr>
              <w:t>Гвозди строительные</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трефовые, трефовые с перемычками, круглые или с плоской головкой.</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92"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301" w:hRule="exact"/>
        </w:trPr>
        <w:tc>
          <w:tcPr>
            <w:shd w:val="clear" w:color="auto" w:fill="FFFFFF"/>
            <w:vMerge w:val="restart"/>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7"/>
              </w:rPr>
              <w:t>КЛИНЬЯ ПЛАСТИКОВЫЕ МОНТАЖНЫЕ</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7"/>
              </w:rPr>
              <w:t>Описание</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Монтажные клинья требуются</w:t>
            </w:r>
          </w:p>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предназначенные для расклинивания и выравнивания строительных элементов.</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374"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rPr>
              <w:t>Высота регулирования клиньями, мм</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должна быть до 9</w:t>
            </w: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379"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rPr>
              <w:t>Габаритные размеры клиньев (Д*Ш*В), мм</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150*45/50*25.30.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56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rPr>
              <w:t>Температура эксплуатации в диапазоне, °С</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минус 45 — плюс 85</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379"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rPr>
              <w:t>Размыкания, скольжения и впитывание влаги</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Не допускается</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2045" w:hRule="exact"/>
        </w:trPr>
        <w:tc>
          <w:tcPr>
            <w:shd w:val="clear" w:color="auto" w:fill="FFFFFF"/>
            <w:vMerge/>
            <w:tcBorders>
              <w:left w:val="single" w:sz="4"/>
              <w:bottom w:val="single" w:sz="4"/>
            </w:tcBorders>
            <w:vAlign w:val="top"/>
          </w:tcPr>
          <w:p>
            <w:pPr>
              <w:framePr w:w="10368" w:wrap="notBeside" w:vAnchor="text" w:hAnchor="text" w:xAlign="center" w:y="1"/>
            </w:pPr>
          </w:p>
        </w:tc>
        <w:tc>
          <w:tcPr>
            <w:shd w:val="clear" w:color="auto" w:fill="FFFFFF"/>
            <w:tcBorders>
              <w:left w:val="single" w:sz="4"/>
              <w:top w:val="single" w:sz="4"/>
              <w:bottom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7"/>
              </w:rPr>
              <w:t>Исполнение</w:t>
            </w:r>
          </w:p>
        </w:tc>
        <w:tc>
          <w:tcPr>
            <w:shd w:val="clear" w:color="auto" w:fill="FFFFFF"/>
            <w:tcBorders>
              <w:left w:val="single" w:sz="4"/>
              <w:top w:val="single" w:sz="4"/>
              <w:bottom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Пластиковые монтажные клинья должны иметь пилообразные зубья, которые расположены с двух сторон по всей поверхности и находятся под углом к поверхности. Клинья должны иметь внутренние воздушные камеры.</w:t>
            </w: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68"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3269"/>
        <w:gridCol w:w="1982"/>
        <w:gridCol w:w="1987"/>
        <w:gridCol w:w="1416"/>
        <w:gridCol w:w="1714"/>
      </w:tblGrid>
      <w:tr>
        <w:trPr>
          <w:trHeight w:val="197"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562" w:hRule="exact"/>
        </w:trPr>
        <w:tc>
          <w:tcPr>
            <w:shd w:val="clear" w:color="auto" w:fill="FFFFFF"/>
            <w:vMerge w:val="restart"/>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АСФАЛЬТОБЕТОННЫЕ СМЕСИ ГОРЯЧИЕ КРУПНОЗЕРНИСТЫЕ ЩЕБЕНОЧНЫЕ ДЛЯ ПЛОТНОГО АСФАЛЬТОБЕТОНА, МАРКА II ГОСТ 9128-2013</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Наибольший размер минеральных зерен в смеси</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до 40 мм.</w:t>
            </w: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97"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Содержание щебня</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[св.50% до 60%]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379"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60" w:line="150" w:lineRule="exact"/>
              <w:ind w:left="0" w:right="0" w:firstLine="0"/>
            </w:pPr>
            <w:r>
              <w:rPr>
                <w:rStyle w:val="CharStyle27"/>
              </w:rPr>
              <w:t>Асфальтобетонные</w:t>
            </w:r>
          </w:p>
          <w:p>
            <w:pPr>
              <w:pStyle w:val="Style15"/>
              <w:framePr w:w="10368" w:wrap="notBeside" w:vAnchor="text" w:hAnchor="text" w:xAlign="center" w:y="1"/>
              <w:widowControl w:val="0"/>
              <w:keepNext w:val="0"/>
              <w:keepLines w:val="0"/>
              <w:shd w:val="clear" w:color="auto" w:fill="auto"/>
              <w:bidi w:val="0"/>
              <w:jc w:val="both"/>
              <w:spacing w:after="0" w:line="150" w:lineRule="exact"/>
              <w:ind w:left="0" w:right="0" w:firstLine="0"/>
            </w:pPr>
            <w:r>
              <w:rPr>
                <w:rStyle w:val="CharStyle27"/>
              </w:rPr>
              <w:t>смеси</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7"/>
              </w:rPr>
              <w:t>должны быть однородными.</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374" w:hRule="exact"/>
        </w:trPr>
        <w:tc>
          <w:tcPr>
            <w:shd w:val="clear" w:color="auto" w:fill="FFFFFF"/>
            <w:vMerge w:val="restart"/>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АСФАЛЬТОБЕТОННЫЕ СМЕСИ ГОРЯЧИЕ МЕЛКОЗЕРНИСТЫЕ ЩЕБЕНОЧНЫЕ, ПЕСЧАНЫЕ ДЛЯ ПЛОТНОГО АСФАЛЬТОБЕТОНА, МАРКА</w:t>
            </w:r>
            <w:r>
              <w:rPr>
                <w:rStyle w:val="CharStyle28"/>
              </w:rPr>
              <w:t xml:space="preserve"> II </w:t>
            </w:r>
            <w:r>
              <w:rPr>
                <w:rStyle w:val="CharStyle27"/>
              </w:rPr>
              <w:t>ГОСТ 9128</w:t>
              <w:softHyphen/>
              <w:t>2013</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60" w:line="150" w:lineRule="exact"/>
              <w:ind w:left="0" w:right="0" w:firstLine="0"/>
            </w:pPr>
            <w:r>
              <w:rPr>
                <w:rStyle w:val="CharStyle27"/>
              </w:rPr>
              <w:t>Асфальтобетонные</w:t>
            </w:r>
          </w:p>
          <w:p>
            <w:pPr>
              <w:pStyle w:val="Style15"/>
              <w:framePr w:w="10368" w:wrap="notBeside" w:vAnchor="text" w:hAnchor="text" w:xAlign="center" w:y="1"/>
              <w:widowControl w:val="0"/>
              <w:keepNext w:val="0"/>
              <w:keepLines w:val="0"/>
              <w:shd w:val="clear" w:color="auto" w:fill="auto"/>
              <w:bidi w:val="0"/>
              <w:jc w:val="both"/>
              <w:spacing w:after="0" w:line="150" w:lineRule="exact"/>
              <w:ind w:left="0" w:right="0" w:firstLine="0"/>
            </w:pPr>
            <w:r>
              <w:rPr>
                <w:rStyle w:val="CharStyle27"/>
              </w:rPr>
              <w:t>смеси</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7"/>
              </w:rPr>
              <w:t>должны быть однородными.</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56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Наибольший размер минеральных зерен в смеси</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до 20 мм.</w:t>
            </w: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97"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Содержание щебня</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[св. 40°% до 50°%]</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744" w:hRule="exact"/>
        </w:trPr>
        <w:tc>
          <w:tcPr>
            <w:shd w:val="clear" w:color="auto" w:fill="FFFFFF"/>
            <w:vMerge w:val="restart"/>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АСФАЛЬТОБЕТОННЫЕ СМЕСИ ДЛЯ ПЛОТНОГО АСФАЛЬТОБЕТОНА ГОСТ 9128-2009</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rPr>
              <w:t>Асфальтобетонные смеси в зависимости от вида минеральной составляющей</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требуются щебеночные.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56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Наибольший размер минеральных зерен в смеси</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до 40 мм.</w:t>
            </w: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749"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В составе</w:t>
            </w:r>
          </w:p>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асфальтобетонной</w:t>
            </w:r>
          </w:p>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смеси</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рекомендуется наличие минерального порошка, допускается применение смеси фракций щебня</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56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Марка</w:t>
            </w:r>
          </w:p>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асфальтобетонной</w:t>
            </w:r>
          </w:p>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смеси</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требуется I или II</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666"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Описание</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Требуются асфальтобетонные смеси для плотного асфальтобетона. Смеси должны быть однородными. Смеси должны иметь непрерывные зерновые составы.</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rPr>
              <w:t>Песок применяемый в составе</w:t>
            </w:r>
          </w:p>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асфальтобетонной</w:t>
            </w:r>
          </w:p>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смеси</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Природный песок или песок из отсевов дробления горных пород</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56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rPr>
              <w:t>Тип смеси в зависимости от содержания в ней щебня:</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А, Б, В</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301"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27"/>
              </w:rPr>
              <w:t>Фракция щебня в составе</w:t>
            </w:r>
          </w:p>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асфальтобетонной</w:t>
            </w:r>
          </w:p>
          <w:p>
            <w:pPr>
              <w:pStyle w:val="Style15"/>
              <w:framePr w:w="10368"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7"/>
              </w:rPr>
              <w:t>смеси</w:t>
            </w: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от 5 до 20 мм и/или свыше 15 до 40 мм и/или от 5 до 10 мм и/или свыше 10 до 15 мм и/или свыше 10 до 20 мм и/или свыше 15 до 20 мм и/или свыше 20 до 40 мм</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92" w:hRule="exact"/>
        </w:trPr>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97" w:hRule="exact"/>
        </w:trPr>
        <w:tc>
          <w:tcPr>
            <w:shd w:val="clear" w:color="auto" w:fill="FFFFFF"/>
            <w:vMerge w:val="restart"/>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ЛЕСОМАТЕРИАЛЫ КРУГЛЫЕ ХВОЙНЫХ ПОРОД ДЛЯ СТРОИТЕЛЬСТВА</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Диаметр, см</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lang w:val="en-US" w:eastAsia="en-US" w:bidi="en-US"/>
              </w:rPr>
              <w:t xml:space="preserve">max </w:t>
            </w:r>
            <w:r>
              <w:rPr>
                <w:rStyle w:val="CharStyle27"/>
              </w:rPr>
              <w:t>24</w:t>
            </w: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9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Длина, м</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Не более 6,5</w:t>
            </w:r>
          </w:p>
        </w:tc>
        <w:tc>
          <w:tcPr>
            <w:shd w:val="clear" w:color="auto" w:fill="FFFFFF"/>
            <w:tcBorders>
              <w:left w:val="single" w:sz="4"/>
              <w:righ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7"/>
              </w:rPr>
              <w:t>Не менее 3</w:t>
            </w:r>
          </w:p>
        </w:tc>
      </w:tr>
      <w:tr>
        <w:trPr>
          <w:trHeight w:val="192"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Исполнение</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Неокоренн ые/окоренн ые</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379"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Порода древесины:</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Сосна, ель, пихта, лиственница, кедр</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197"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Сорт</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7"/>
              </w:rPr>
              <w:t>два</w:t>
            </w:r>
            <w:r>
              <w:rPr>
                <w:rStyle w:val="CharStyle28"/>
              </w:rPr>
              <w:t xml:space="preserve"> / </w:t>
            </w:r>
            <w:r>
              <w:rPr>
                <w:rStyle w:val="CharStyle27"/>
              </w:rPr>
              <w:t>три</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744" w:hRule="exact"/>
        </w:trPr>
        <w:tc>
          <w:tcPr>
            <w:shd w:val="clear" w:color="auto" w:fill="FFFFFF"/>
            <w:vMerge/>
            <w:tcBorders>
              <w:left w:val="single" w:sz="4"/>
            </w:tcBorders>
            <w:vAlign w:val="top"/>
          </w:tcPr>
          <w:p>
            <w:pPr>
              <w:framePr w:w="10368" w:wrap="notBeside" w:vAnchor="text" w:hAnchor="text" w:xAlign="center" w:y="1"/>
            </w:pPr>
          </w:p>
        </w:tc>
        <w:tc>
          <w:tcPr>
            <w:shd w:val="clear" w:color="auto" w:fill="FFFFFF"/>
            <w:tcBorders>
              <w:left w:val="single" w:sz="4"/>
              <w:top w:val="single" w:sz="4"/>
            </w:tcBorders>
            <w:vAlign w:val="top"/>
          </w:tcPr>
          <w:p>
            <w:pPr>
              <w:pStyle w:val="Style15"/>
              <w:framePr w:w="10368" w:wrap="notBeside" w:vAnchor="text" w:hAnchor="text" w:xAlign="center" w:y="1"/>
              <w:widowControl w:val="0"/>
              <w:keepNext w:val="0"/>
              <w:keepLines w:val="0"/>
              <w:shd w:val="clear" w:color="auto" w:fill="auto"/>
              <w:bidi w:val="0"/>
              <w:jc w:val="both"/>
              <w:spacing w:before="0" w:after="0" w:line="150" w:lineRule="exact"/>
              <w:ind w:left="0" w:right="0" w:firstLine="0"/>
            </w:pPr>
            <w:r>
              <w:rPr>
                <w:rStyle w:val="CharStyle27"/>
              </w:rPr>
              <w:t>Сучья</w:t>
            </w:r>
          </w:p>
        </w:tc>
        <w:tc>
          <w:tcPr>
            <w:shd w:val="clear" w:color="auto" w:fill="FFFFFF"/>
            <w:tcBorders>
              <w:left w:val="single" w:sz="4"/>
              <w:top w:val="single" w:sz="4"/>
            </w:tcBorders>
            <w:vAlign w:val="bottom"/>
          </w:tcPr>
          <w:p>
            <w:pPr>
              <w:pStyle w:val="Style15"/>
              <w:framePr w:w="10368"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7"/>
              </w:rPr>
              <w:t>должны быть срезаны (обрублены) вровень с поверхностью неокоренного бревна.</w:t>
            </w:r>
          </w:p>
        </w:tc>
        <w:tc>
          <w:tcPr>
            <w:shd w:val="clear" w:color="auto" w:fill="FFFFFF"/>
            <w:tcBorders>
              <w:left w:val="single" w:sz="4"/>
              <w:top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8" w:wrap="notBeside" w:vAnchor="text" w:hAnchor="text" w:xAlign="center" w:y="1"/>
              <w:widowControl w:val="0"/>
              <w:rPr>
                <w:sz w:val="10"/>
                <w:szCs w:val="10"/>
              </w:rPr>
            </w:pPr>
          </w:p>
        </w:tc>
      </w:tr>
      <w:tr>
        <w:trPr>
          <w:trHeight w:val="202" w:hRule="exact"/>
        </w:trPr>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36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68" w:wrap="notBeside" w:vAnchor="text" w:hAnchor="text" w:xAlign="center" w:y="1"/>
              <w:widowControl w:val="0"/>
              <w:rPr>
                <w:sz w:val="10"/>
                <w:szCs w:val="10"/>
              </w:rPr>
            </w:pPr>
          </w:p>
        </w:tc>
      </w:tr>
    </w:tbl>
    <w:p>
      <w:pPr>
        <w:widowControl w:val="0"/>
        <w:rPr>
          <w:sz w:val="2"/>
          <w:szCs w:val="2"/>
        </w:rPr>
      </w:pPr>
    </w:p>
    <w:p>
      <w:pPr>
        <w:pStyle w:val="Style22"/>
        <w:widowControl w:val="0"/>
        <w:keepNext/>
        <w:keepLines/>
        <w:shd w:val="clear" w:color="auto" w:fill="auto"/>
        <w:bidi w:val="0"/>
        <w:jc w:val="left"/>
        <w:spacing w:before="0" w:after="0" w:line="322" w:lineRule="exact"/>
        <w:ind w:left="20" w:right="520"/>
      </w:pPr>
      <w:bookmarkStart w:id="2" w:name="bookmark2"/>
      <w:r>
        <w:rPr>
          <w:rStyle w:val="CharStyle29"/>
        </w:rPr>
        <w:t>...»</w:t>
      </w:r>
      <w:r>
        <w:rPr>
          <w:lang w:val="ru-RU" w:eastAsia="ru-RU" w:bidi="ru-RU"/>
          <w:w w:val="100"/>
          <w:spacing w:val="0"/>
          <w:color w:val="000000"/>
          <w:position w:val="0"/>
        </w:rPr>
        <w:t xml:space="preserve"> (цитаты). При этом документация об Аукционе содержит Инструкцию по заполнению первых частей заявок участников, согласно которой: </w:t>
      </w:r>
      <w:r>
        <w:rPr>
          <w:rStyle w:val="CharStyle29"/>
        </w:rPr>
        <w:t>«...</w:t>
      </w:r>
      <w:bookmarkEnd w:id="2"/>
    </w:p>
    <w:p>
      <w:pPr>
        <w:pStyle w:val="Style30"/>
        <w:widowControl w:val="0"/>
        <w:keepNext w:val="0"/>
        <w:keepLines w:val="0"/>
        <w:shd w:val="clear" w:color="auto" w:fill="auto"/>
        <w:bidi w:val="0"/>
        <w:jc w:val="left"/>
        <w:spacing w:before="0" w:after="184"/>
        <w:ind w:left="20" w:right="360" w:firstLine="560"/>
      </w:pPr>
      <w:r>
        <w:rPr>
          <w:lang w:val="ru-RU" w:eastAsia="ru-RU" w:bidi="ru-RU"/>
          <w:w w:val="100"/>
          <w:spacing w:val="0"/>
          <w:color w:val="000000"/>
          <w:position w:val="0"/>
        </w:rPr>
        <w:t>Предлог «до» установленный перед числовым значением - участникам закупки необходимо предоставить в заявке конкретное значение, не более установленного, если не указано иное.</w:t>
      </w:r>
    </w:p>
    <w:p>
      <w:pPr>
        <w:pStyle w:val="Style30"/>
        <w:widowControl w:val="0"/>
        <w:keepNext w:val="0"/>
        <w:keepLines w:val="0"/>
        <w:shd w:val="clear" w:color="auto" w:fill="auto"/>
        <w:bidi w:val="0"/>
        <w:jc w:val="both"/>
        <w:spacing w:before="0" w:after="0" w:line="250" w:lineRule="exact"/>
        <w:ind w:left="20" w:right="520" w:firstLine="860"/>
      </w:pPr>
      <w:r>
        <w:rPr>
          <w:lang w:val="ru-RU" w:eastAsia="ru-RU" w:bidi="ru-RU"/>
          <w:w w:val="100"/>
          <w:spacing w:val="0"/>
          <w:color w:val="000000"/>
          <w:position w:val="0"/>
        </w:rPr>
        <w:t>Значения (в том числе требования, характеристики), выделенные квадратными скобками «[» «]» либо прямо указанные как «неизменный показатель», либо являющиеся обозначением фракции товара, либо температурой испытания товара, либо «норма» показателя согласно требований государственного стандарта, участник закупки изменять не должен, наименование показателя установленное Заказчиком</w:t>
      </w:r>
    </w:p>
    <w:p>
      <w:pPr>
        <w:pStyle w:val="Style30"/>
        <w:widowControl w:val="0"/>
        <w:keepNext w:val="0"/>
        <w:keepLines w:val="0"/>
        <w:shd w:val="clear" w:color="auto" w:fill="auto"/>
        <w:bidi w:val="0"/>
        <w:jc w:val="both"/>
        <w:spacing w:before="0" w:after="214" w:line="200" w:lineRule="exact"/>
        <w:ind w:left="0" w:right="0" w:firstLine="0"/>
      </w:pPr>
      <w:r>
        <w:rPr>
          <w:lang w:val="ru-RU" w:eastAsia="ru-RU" w:bidi="ru-RU"/>
          <w:w w:val="100"/>
          <w:spacing w:val="0"/>
          <w:color w:val="000000"/>
          <w:position w:val="0"/>
        </w:rPr>
        <w:t>указывается в неизменном виде</w:t>
      </w:r>
    </w:p>
    <w:p>
      <w:pPr>
        <w:pStyle w:val="Style30"/>
        <w:widowControl w:val="0"/>
        <w:keepNext w:val="0"/>
        <w:keepLines w:val="0"/>
        <w:shd w:val="clear" w:color="auto" w:fill="auto"/>
        <w:bidi w:val="0"/>
        <w:jc w:val="both"/>
        <w:spacing w:before="0" w:after="180" w:line="250" w:lineRule="exact"/>
        <w:ind w:left="0" w:right="160" w:firstLine="860"/>
      </w:pPr>
      <w:r>
        <w:rPr>
          <w:lang w:val="ru-RU" w:eastAsia="ru-RU" w:bidi="ru-RU"/>
          <w:w w:val="100"/>
          <w:spacing w:val="0"/>
          <w:color w:val="000000"/>
          <w:position w:val="0"/>
        </w:rPr>
        <w:t>При установлении требований к показателям, значения которых участники закупки менять не вправе, Заказчик использовал фразу «должен (-на, -но, -ны) быть», что означает необходимость предоставить в заявке значение (-я) показателя (-ей), следующих за указанной фразой, без изменений, т.е. без использования слов: «должен (-на, -но, -ны) быть» - данное правило является приоритетным в случае возникновения противоречия с другими правилами инструкции</w:t>
      </w:r>
    </w:p>
    <w:p>
      <w:pPr>
        <w:pStyle w:val="Style30"/>
        <w:widowControl w:val="0"/>
        <w:keepNext w:val="0"/>
        <w:keepLines w:val="0"/>
        <w:shd w:val="clear" w:color="auto" w:fill="auto"/>
        <w:bidi w:val="0"/>
        <w:jc w:val="both"/>
        <w:spacing w:before="0" w:after="52" w:line="250" w:lineRule="exact"/>
        <w:ind w:left="0" w:right="160" w:firstLine="860"/>
      </w:pPr>
      <w:r>
        <w:rPr>
          <w:lang w:val="ru-RU" w:eastAsia="ru-RU" w:bidi="ru-RU"/>
          <w:w w:val="100"/>
          <w:spacing w:val="0"/>
          <w:color w:val="000000"/>
          <w:position w:val="0"/>
        </w:rPr>
        <w:t>Символы скобки «(» «)» применяемые для выделения значений означают пояснение к значению перед скобками, и указываются в заявке в неизменном виде, исключением является случай указания в скобках взаимоисключающих значений относительно значения перед скобками - участникам закупки необходимо выбрать и предоставить в заявке одно из взаимоисключающих значений - данное правило является приоритетным в случае возникновения противоречия с другими правилами инструкции, кроме</w:t>
      </w:r>
    </w:p>
    <w:p>
      <w:pPr>
        <w:pStyle w:val="Style30"/>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случаев описанных ниже</w:t>
      </w:r>
      <w:r>
        <w:rPr>
          <w:rStyle w:val="CharStyle32"/>
          <w:b w:val="0"/>
          <w:bCs w:val="0"/>
        </w:rPr>
        <w:t>.»</w:t>
      </w:r>
      <w:r>
        <w:rPr>
          <w:rStyle w:val="CharStyle33"/>
          <w:b w:val="0"/>
          <w:bCs w:val="0"/>
        </w:rPr>
        <w:t xml:space="preserve"> (цитата).</w:t>
      </w:r>
    </w:p>
    <w:p>
      <w:pPr>
        <w:pStyle w:val="Style22"/>
        <w:widowControl w:val="0"/>
        <w:keepNext/>
        <w:keepLines/>
        <w:shd w:val="clear" w:color="auto" w:fill="auto"/>
        <w:bidi w:val="0"/>
        <w:jc w:val="both"/>
        <w:spacing w:before="0" w:after="0" w:line="322" w:lineRule="exact"/>
        <w:ind w:left="0" w:right="20"/>
      </w:pPr>
      <w:bookmarkStart w:id="3" w:name="bookmark3"/>
      <w:r>
        <w:rPr>
          <w:lang w:val="ru-RU" w:eastAsia="ru-RU" w:bidi="ru-RU"/>
          <w:w w:val="100"/>
          <w:spacing w:val="0"/>
          <w:color w:val="000000"/>
          <w:position w:val="0"/>
        </w:rPr>
        <w:t>На заседании Комиссии представитель Уполномоченного органа пояснил, что Заявитель в первой части заявки при описании товара не указал конкретные</w:t>
      </w:r>
      <w:bookmarkEnd w:id="3"/>
    </w:p>
    <w:p>
      <w:pPr>
        <w:pStyle w:val="Style15"/>
        <w:widowControl w:val="0"/>
        <w:keepNext w:val="0"/>
        <w:keepLines w:val="0"/>
        <w:shd w:val="clear" w:color="auto" w:fill="auto"/>
        <w:bidi w:val="0"/>
        <w:jc w:val="both"/>
        <w:spacing w:before="0" w:after="0" w:line="274" w:lineRule="exact"/>
        <w:ind w:left="0" w:right="0" w:firstLine="0"/>
      </w:pPr>
      <w:r>
        <w:rPr>
          <w:rStyle w:val="CharStyle34"/>
        </w:rPr>
        <w:t>показатели: « Р</w:t>
      </w:r>
      <w:r>
        <w:rPr>
          <w:lang w:val="ru-RU" w:eastAsia="ru-RU" w:bidi="ru-RU"/>
          <w:w w:val="100"/>
          <w:spacing w:val="0"/>
          <w:color w:val="000000"/>
          <w:position w:val="0"/>
        </w:rPr>
        <w:t>азделом VI документации об электронном аукционе предусмотрено, что</w:t>
      </w:r>
    </w:p>
    <w:p>
      <w:pPr>
        <w:pStyle w:val="Style15"/>
        <w:widowControl w:val="0"/>
        <w:keepNext w:val="0"/>
        <w:keepLines w:val="0"/>
        <w:shd w:val="clear" w:color="auto" w:fill="auto"/>
        <w:bidi w:val="0"/>
        <w:jc w:val="both"/>
        <w:spacing w:before="0" w:after="0" w:line="274" w:lineRule="exact"/>
        <w:ind w:left="0" w:right="20" w:firstLine="0"/>
      </w:pPr>
      <w:r>
        <w:rPr>
          <w:lang w:val="ru-RU" w:eastAsia="ru-RU" w:bidi="ru-RU"/>
          <w:w w:val="100"/>
          <w:spacing w:val="0"/>
          <w:color w:val="000000"/>
          <w:position w:val="0"/>
        </w:rPr>
        <w:t>значения (в том числе требования, характеристики), выделенные квадратными скобками «[» «]» либо прямо указанные как «неизменный показатель», либо являющиеся обозначением фракции товара, либо температурой испытания товара, либо «норма» показателя согласно требований государственного стандарта, участник закупки изменять не должен, наименование показателя установленное Заказчиком указывается в неизменном виде.</w:t>
      </w:r>
    </w:p>
    <w:p>
      <w:pPr>
        <w:pStyle w:val="Style15"/>
        <w:widowControl w:val="0"/>
        <w:keepNext w:val="0"/>
        <w:keepLines w:val="0"/>
        <w:shd w:val="clear" w:color="auto" w:fill="auto"/>
        <w:bidi w:val="0"/>
        <w:jc w:val="both"/>
        <w:spacing w:before="0" w:after="0" w:line="274" w:lineRule="exact"/>
        <w:ind w:left="0" w:right="20" w:firstLine="860"/>
      </w:pPr>
      <w:r>
        <w:rPr>
          <w:lang w:val="ru-RU" w:eastAsia="ru-RU" w:bidi="ru-RU"/>
          <w:w w:val="100"/>
          <w:spacing w:val="0"/>
          <w:color w:val="000000"/>
          <w:position w:val="0"/>
        </w:rPr>
        <w:t>Однако, установленный Заказчиком по номенклатурным позициям «АСФАЛЬТОБЕТОННЫЕ СМЕСИ ГОРЯЧИЕ КРУПНОЗЕРНИСТЫЕ ЩЕБЕНОЧНЫЕ ДЛЯ ПЛОТНОГО АСФАЛЬТОБЕТОНА, МАРКА II ГОСТ 9128-2013»; «АСФАЛЬТОБЕТОННЫЕ СМЕСИ ГОРЯЧИЕ МЕЛКОЗЕРНИСТЫЕ ЩЕБЕНОЧНЫЕ, ПЕСЧАНЫЕ ДЛЯ ПЛОТНОГО АСФАЛЬТОБЕТОНА, МАРКА II ГОСТ 9128-2013»; «АСФАЛЬТОБЕТОННЫЕ СМЕСИ ДЛЯ ПЛОТНОГО АСФАЛЬТОБЕТОНА ГОСТ 9128-2009» показатель «</w:t>
      </w:r>
      <w:r>
        <w:rPr>
          <w:rStyle w:val="CharStyle17"/>
        </w:rPr>
        <w:t>Наибольший размер</w:t>
      </w:r>
      <w:r>
        <w:rPr>
          <w:lang w:val="ru-RU" w:eastAsia="ru-RU" w:bidi="ru-RU"/>
          <w:w w:val="100"/>
          <w:spacing w:val="0"/>
          <w:color w:val="000000"/>
          <w:position w:val="0"/>
        </w:rPr>
        <w:t xml:space="preserve"> </w:t>
      </w:r>
      <w:r>
        <w:rPr>
          <w:rStyle w:val="CharStyle17"/>
        </w:rPr>
        <w:t>минеральных зерен в смеси</w:t>
      </w:r>
      <w:r>
        <w:rPr>
          <w:lang w:val="ru-RU" w:eastAsia="ru-RU" w:bidi="ru-RU"/>
          <w:w w:val="100"/>
          <w:spacing w:val="0"/>
          <w:color w:val="000000"/>
          <w:position w:val="0"/>
        </w:rPr>
        <w:t xml:space="preserve">» не выделен квадратными скобками «[» «]», не указан как «неизменный показатель», не обозначен как фракция товара, либо температура испытания товара, либо «норма» показателя согласно требований государственного стандарта. В связи с чем, по данному показателю </w:t>
      </w:r>
      <w:r>
        <w:rPr>
          <w:rStyle w:val="CharStyle18"/>
        </w:rPr>
        <w:t>необходимо предоставить конкретное значение</w:t>
      </w:r>
      <w:r>
        <w:rPr>
          <w:lang w:val="ru-RU" w:eastAsia="ru-RU" w:bidi="ru-RU"/>
          <w:w w:val="100"/>
          <w:spacing w:val="0"/>
          <w:color w:val="000000"/>
          <w:position w:val="0"/>
        </w:rPr>
        <w:t>.</w:t>
      </w:r>
    </w:p>
    <w:p>
      <w:pPr>
        <w:pStyle w:val="Style15"/>
        <w:widowControl w:val="0"/>
        <w:keepNext w:val="0"/>
        <w:keepLines w:val="0"/>
        <w:shd w:val="clear" w:color="auto" w:fill="auto"/>
        <w:bidi w:val="0"/>
        <w:jc w:val="both"/>
        <w:spacing w:before="0" w:after="0" w:line="274" w:lineRule="exact"/>
        <w:ind w:left="0" w:right="20" w:firstLine="860"/>
      </w:pPr>
      <w:r>
        <w:rPr>
          <w:lang w:val="ru-RU" w:eastAsia="ru-RU" w:bidi="ru-RU"/>
          <w:w w:val="100"/>
          <w:spacing w:val="0"/>
          <w:color w:val="000000"/>
          <w:position w:val="0"/>
        </w:rPr>
        <w:t xml:space="preserve">В свою очередь по номенклатурной позиции «АСФАЛЬТОБЕТОННЫЕ СМЕСИ ГОРЯЧИЕ КРУПНОЗЕРНИСТЫЕ ЩЕБЕНОЧНЫЕ ДЛЯ ПЛОТНОГО АСФАЛЬТОБЕТОНА, МАРКА </w:t>
      </w:r>
      <w:r>
        <w:rPr>
          <w:lang w:val="en-US" w:eastAsia="en-US" w:bidi="en-US"/>
          <w:w w:val="100"/>
          <w:spacing w:val="0"/>
          <w:color w:val="000000"/>
          <w:position w:val="0"/>
        </w:rPr>
        <w:t xml:space="preserve">II </w:t>
      </w:r>
      <w:r>
        <w:rPr>
          <w:lang w:val="ru-RU" w:eastAsia="ru-RU" w:bidi="ru-RU"/>
          <w:w w:val="100"/>
          <w:spacing w:val="0"/>
          <w:color w:val="000000"/>
          <w:position w:val="0"/>
        </w:rPr>
        <w:t>ГОСТ 9128-2013» участником электронного аукциона предложен показатель «Наибольший размер минеральных зерен в смеси» со значением «</w:t>
      </w:r>
      <w:r>
        <w:rPr>
          <w:rStyle w:val="CharStyle18"/>
        </w:rPr>
        <w:t xml:space="preserve">до 40 мм </w:t>
      </w:r>
      <w:r>
        <w:rPr>
          <w:lang w:val="ru-RU" w:eastAsia="ru-RU" w:bidi="ru-RU"/>
          <w:w w:val="100"/>
          <w:spacing w:val="0"/>
          <w:color w:val="000000"/>
          <w:position w:val="0"/>
        </w:rPr>
        <w:t>(значение показателя указывается в неизменном виде в соответствии с требованиями инструкции)» (цитата из заявки);</w:t>
      </w:r>
    </w:p>
    <w:p>
      <w:pPr>
        <w:pStyle w:val="Style15"/>
        <w:widowControl w:val="0"/>
        <w:keepNext w:val="0"/>
        <w:keepLines w:val="0"/>
        <w:shd w:val="clear" w:color="auto" w:fill="auto"/>
        <w:bidi w:val="0"/>
        <w:jc w:val="both"/>
        <w:spacing w:before="0" w:after="0" w:line="274" w:lineRule="exact"/>
        <w:ind w:left="0" w:right="20" w:firstLine="860"/>
      </w:pPr>
      <w:r>
        <w:rPr>
          <w:lang w:val="ru-RU" w:eastAsia="ru-RU" w:bidi="ru-RU"/>
          <w:w w:val="100"/>
          <w:spacing w:val="0"/>
          <w:color w:val="000000"/>
          <w:position w:val="0"/>
        </w:rPr>
        <w:t>В свою очередь по номенклатурной позиции «АСФАЛЬТОБЕТОННЫЕ СМЕСИ ГОРЯЧИЕ МЕЛКОЗЕРНИСТЫЕ ЩЕБЕНОЧНЫЕ, ПЕСЧАНЫЕ ДЛЯ ПЛОТНОГО АСФАЛЬТОБЕТОНА, МАРКА II ГОСТ 9128-2013» участником электронного аукциона предложен показатель «Наибольший размер минеральных зерен в смеси» со значением «</w:t>
      </w:r>
      <w:r>
        <w:rPr>
          <w:rStyle w:val="CharStyle18"/>
        </w:rPr>
        <w:t xml:space="preserve">до 20 мм </w:t>
      </w:r>
      <w:r>
        <w:rPr>
          <w:lang w:val="ru-RU" w:eastAsia="ru-RU" w:bidi="ru-RU"/>
          <w:w w:val="100"/>
          <w:spacing w:val="0"/>
          <w:color w:val="000000"/>
          <w:position w:val="0"/>
        </w:rPr>
        <w:t>(значение показателя указывается в неизменном виде в соответствии с требованиями инструкции)» (цитата из заявки);</w:t>
      </w:r>
    </w:p>
    <w:p>
      <w:pPr>
        <w:pStyle w:val="Style15"/>
        <w:widowControl w:val="0"/>
        <w:keepNext w:val="0"/>
        <w:keepLines w:val="0"/>
        <w:shd w:val="clear" w:color="auto" w:fill="auto"/>
        <w:bidi w:val="0"/>
        <w:jc w:val="both"/>
        <w:spacing w:before="0" w:after="0" w:line="274" w:lineRule="exact"/>
        <w:ind w:left="0" w:right="20" w:firstLine="860"/>
      </w:pPr>
      <w:r>
        <w:rPr>
          <w:lang w:val="ru-RU" w:eastAsia="ru-RU" w:bidi="ru-RU"/>
          <w:w w:val="100"/>
          <w:spacing w:val="0"/>
          <w:color w:val="000000"/>
          <w:position w:val="0"/>
        </w:rPr>
        <w:t>В свою очередь по номенклатурной позиции «АСФАЛЬТОБЕТОННЫЕ СМЕСИ ДЛЯ ПЛОТНОГО АСФАЛЬТОБЕТОНА ГОСТ 9128-2009» участником электронного аукциона предложен показатель «Наибольший размер минеральных зерен в смеси» со значением «</w:t>
      </w:r>
      <w:r>
        <w:rPr>
          <w:rStyle w:val="CharStyle18"/>
        </w:rPr>
        <w:t xml:space="preserve">до 40 мм </w:t>
      </w:r>
      <w:r>
        <w:rPr>
          <w:lang w:val="ru-RU" w:eastAsia="ru-RU" w:bidi="ru-RU"/>
          <w:w w:val="100"/>
          <w:spacing w:val="0"/>
          <w:color w:val="000000"/>
          <w:position w:val="0"/>
        </w:rPr>
        <w:t>(значение показателя указывается в неизменном виде в соответствии с требованиями инструкции)» (цитата из заявки);</w:t>
      </w:r>
    </w:p>
    <w:p>
      <w:pPr>
        <w:pStyle w:val="Style15"/>
        <w:widowControl w:val="0"/>
        <w:keepNext w:val="0"/>
        <w:keepLines w:val="0"/>
        <w:shd w:val="clear" w:color="auto" w:fill="auto"/>
        <w:bidi w:val="0"/>
        <w:jc w:val="both"/>
        <w:spacing w:before="0" w:after="0" w:line="274" w:lineRule="exact"/>
        <w:ind w:left="0" w:right="20" w:firstLine="860"/>
      </w:pPr>
      <w:r>
        <w:rPr>
          <w:lang w:val="ru-RU" w:eastAsia="ru-RU" w:bidi="ru-RU"/>
          <w:w w:val="100"/>
          <w:spacing w:val="0"/>
          <w:color w:val="000000"/>
          <w:position w:val="0"/>
        </w:rPr>
        <w:t>Таким образом, участником электронного аукциона не предоставлены конкретные значения в отношении товара, используемого при выполнении работ, по вышеуказанным номенклатурным позициям.</w:t>
      </w:r>
    </w:p>
    <w:p>
      <w:pPr>
        <w:pStyle w:val="Style15"/>
        <w:widowControl w:val="0"/>
        <w:keepNext w:val="0"/>
        <w:keepLines w:val="0"/>
        <w:shd w:val="clear" w:color="auto" w:fill="auto"/>
        <w:bidi w:val="0"/>
        <w:jc w:val="both"/>
        <w:spacing w:before="0" w:after="0" w:line="274" w:lineRule="exact"/>
        <w:ind w:left="0" w:right="20" w:firstLine="860"/>
      </w:pPr>
      <w:r>
        <w:rPr>
          <w:lang w:val="ru-RU" w:eastAsia="ru-RU" w:bidi="ru-RU"/>
          <w:w w:val="100"/>
          <w:spacing w:val="0"/>
          <w:color w:val="000000"/>
          <w:position w:val="0"/>
        </w:rPr>
        <w:t xml:space="preserve">В соответствии с п.2 ч.4 ст.67 Закона 44-ФЗ, а именно: несоответствие в первой части заявки участника информации, предусмотренной п.п. б) п.3 ч.3 ст.66 Закона №44-ФЗ, п.1.1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w:t>
      </w:r>
    </w:p>
    <w:p>
      <w:pPr>
        <w:pStyle w:val="Style15"/>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 xml:space="preserve">Согласно части 1 раздела </w:t>
      </w:r>
      <w:r>
        <w:rPr>
          <w:lang w:val="en-US" w:eastAsia="en-US" w:bidi="en-US"/>
          <w:w w:val="100"/>
          <w:spacing w:val="0"/>
          <w:color w:val="000000"/>
          <w:position w:val="0"/>
        </w:rPr>
        <w:t xml:space="preserve">VI </w:t>
      </w:r>
      <w:r>
        <w:rPr>
          <w:lang w:val="ru-RU" w:eastAsia="ru-RU" w:bidi="ru-RU"/>
          <w:w w:val="100"/>
          <w:spacing w:val="0"/>
          <w:color w:val="000000"/>
          <w:position w:val="0"/>
        </w:rPr>
        <w:t>документации об электронном аукционе «при установлении требований к показателям, значения которых участники закупки менять не вправе, Заказчик использовал фразу «</w:t>
      </w:r>
      <w:r>
        <w:rPr>
          <w:rStyle w:val="CharStyle18"/>
        </w:rPr>
        <w:t>должен (-на, -но, -ны) быть</w:t>
      </w:r>
      <w:r>
        <w:rPr>
          <w:lang w:val="ru-RU" w:eastAsia="ru-RU" w:bidi="ru-RU"/>
          <w:w w:val="100"/>
          <w:spacing w:val="0"/>
          <w:color w:val="000000"/>
          <w:position w:val="0"/>
        </w:rPr>
        <w:t xml:space="preserve">», что означает </w:t>
      </w:r>
      <w:r>
        <w:rPr>
          <w:rStyle w:val="CharStyle17"/>
        </w:rPr>
        <w:t>необходимость предоставить в</w:t>
      </w:r>
      <w:r>
        <w:rPr>
          <w:lang w:val="ru-RU" w:eastAsia="ru-RU" w:bidi="ru-RU"/>
          <w:w w:val="100"/>
          <w:spacing w:val="0"/>
          <w:color w:val="000000"/>
          <w:position w:val="0"/>
        </w:rPr>
        <w:t xml:space="preserve"> </w:t>
      </w:r>
      <w:r>
        <w:rPr>
          <w:rStyle w:val="CharStyle17"/>
        </w:rPr>
        <w:t xml:space="preserve">заявке значение (-я) показателя (-ей), следующих за указанной фразой, </w:t>
      </w:r>
      <w:r>
        <w:rPr>
          <w:rStyle w:val="CharStyle21"/>
        </w:rPr>
        <w:t>без изменений</w:t>
      </w:r>
      <w:r>
        <w:rPr>
          <w:lang w:val="ru-RU" w:eastAsia="ru-RU" w:bidi="ru-RU"/>
          <w:w w:val="100"/>
          <w:spacing w:val="0"/>
          <w:color w:val="000000"/>
          <w:position w:val="0"/>
        </w:rPr>
        <w:t>, т.е. без использования слов: «должен (-на, -но, -ны) быть» - данное правило является приоритетным в случае возникновения противоречия с другими правилами инструкции.» (цитата из инструкции по заполнению заявок на участие в электронном аукционе).</w:t>
      </w:r>
    </w:p>
    <w:p>
      <w:pPr>
        <w:pStyle w:val="Style15"/>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В свою очередь по номенклатурной позиции «КЛИНЬЯ ПЛАСТИКОВЫЕ МОНТАЖНЫЕ» участником электронного аукциона предложен показатель «Высота регулирования клиньями, мм» со значением «</w:t>
      </w:r>
      <w:r>
        <w:rPr>
          <w:rStyle w:val="CharStyle18"/>
        </w:rPr>
        <w:t>8 мм</w:t>
      </w:r>
      <w:r>
        <w:rPr>
          <w:lang w:val="ru-RU" w:eastAsia="ru-RU" w:bidi="ru-RU"/>
          <w:w w:val="100"/>
          <w:spacing w:val="0"/>
          <w:color w:val="000000"/>
          <w:position w:val="0"/>
        </w:rPr>
        <w:t>» (цитата из заявки) вместо требуемого заказчику «</w:t>
      </w:r>
      <w:r>
        <w:rPr>
          <w:rStyle w:val="CharStyle18"/>
        </w:rPr>
        <w:t xml:space="preserve">должна быть </w:t>
      </w:r>
      <w:r>
        <w:rPr>
          <w:rStyle w:val="CharStyle17"/>
        </w:rPr>
        <w:t>до 9</w:t>
      </w:r>
      <w:r>
        <w:rPr>
          <w:lang w:val="ru-RU" w:eastAsia="ru-RU" w:bidi="ru-RU"/>
          <w:w w:val="100"/>
          <w:spacing w:val="0"/>
          <w:color w:val="000000"/>
          <w:position w:val="0"/>
        </w:rPr>
        <w:t>».</w:t>
      </w:r>
    </w:p>
    <w:p>
      <w:pPr>
        <w:pStyle w:val="Style15"/>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15"/>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 xml:space="preserve">Согласно части 1 раздела </w:t>
      </w:r>
      <w:r>
        <w:rPr>
          <w:lang w:val="en-US" w:eastAsia="en-US" w:bidi="en-US"/>
          <w:w w:val="100"/>
          <w:spacing w:val="0"/>
          <w:color w:val="000000"/>
          <w:position w:val="0"/>
        </w:rPr>
        <w:t xml:space="preserve">VI </w:t>
      </w:r>
      <w:r>
        <w:rPr>
          <w:lang w:val="ru-RU" w:eastAsia="ru-RU" w:bidi="ru-RU"/>
          <w:w w:val="100"/>
          <w:spacing w:val="0"/>
          <w:color w:val="000000"/>
          <w:position w:val="0"/>
        </w:rPr>
        <w:t xml:space="preserve">документации об электронном аукционе символы скобки </w:t>
      </w:r>
      <w:r>
        <w:rPr>
          <w:rStyle w:val="CharStyle18"/>
        </w:rPr>
        <w:t xml:space="preserve">«(» «)» </w:t>
      </w:r>
      <w:r>
        <w:rPr>
          <w:lang w:val="ru-RU" w:eastAsia="ru-RU" w:bidi="ru-RU"/>
          <w:w w:val="100"/>
          <w:spacing w:val="0"/>
          <w:color w:val="000000"/>
          <w:position w:val="0"/>
        </w:rPr>
        <w:t xml:space="preserve">применяемые для выделения значений </w:t>
      </w:r>
      <w:r>
        <w:rPr>
          <w:rStyle w:val="CharStyle17"/>
        </w:rPr>
        <w:t>означают пояснение к значению перед скобками,</w:t>
      </w:r>
      <w:r>
        <w:rPr>
          <w:lang w:val="ru-RU" w:eastAsia="ru-RU" w:bidi="ru-RU"/>
          <w:w w:val="100"/>
          <w:spacing w:val="0"/>
          <w:color w:val="000000"/>
          <w:position w:val="0"/>
        </w:rPr>
        <w:t xml:space="preserve"> и </w:t>
      </w:r>
      <w:r>
        <w:rPr>
          <w:rStyle w:val="CharStyle18"/>
        </w:rPr>
        <w:t>указываются в заявке в неизменном виде</w:t>
      </w:r>
      <w:r>
        <w:rPr>
          <w:lang w:val="ru-RU" w:eastAsia="ru-RU" w:bidi="ru-RU"/>
          <w:w w:val="100"/>
          <w:spacing w:val="0"/>
          <w:color w:val="000000"/>
          <w:position w:val="0"/>
        </w:rPr>
        <w:t xml:space="preserve">, исключением является случай указания в скобках </w:t>
      </w:r>
      <w:r>
        <w:rPr>
          <w:rStyle w:val="CharStyle17"/>
        </w:rPr>
        <w:t>взаимоисключающих значений</w:t>
      </w:r>
      <w:r>
        <w:rPr>
          <w:lang w:val="ru-RU" w:eastAsia="ru-RU" w:bidi="ru-RU"/>
          <w:w w:val="100"/>
          <w:spacing w:val="0"/>
          <w:color w:val="000000"/>
          <w:position w:val="0"/>
        </w:rPr>
        <w:t xml:space="preserve"> относительно значения перед скобками - участникам закупки необходимо </w:t>
      </w:r>
      <w:r>
        <w:rPr>
          <w:rStyle w:val="CharStyle18"/>
        </w:rPr>
        <w:t xml:space="preserve">выбрать и предоставить в заявке одно из взаимоисключающих значений </w:t>
      </w:r>
      <w:r>
        <w:rPr>
          <w:lang w:val="ru-RU" w:eastAsia="ru-RU" w:bidi="ru-RU"/>
          <w:w w:val="100"/>
          <w:spacing w:val="0"/>
          <w:color w:val="000000"/>
          <w:position w:val="0"/>
        </w:rPr>
        <w:t>- данное правило является приоритетным в случае возникновения противоречия с другими правилами инструкции, кроме случаев описанных ниже.</w:t>
      </w:r>
    </w:p>
    <w:p>
      <w:pPr>
        <w:pStyle w:val="Style15"/>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 xml:space="preserve">В соответствии с приложением №2 к разделу </w:t>
      </w:r>
      <w:r>
        <w:rPr>
          <w:lang w:val="en-US" w:eastAsia="en-US" w:bidi="en-US"/>
          <w:w w:val="100"/>
          <w:spacing w:val="0"/>
          <w:color w:val="000000"/>
          <w:position w:val="0"/>
        </w:rPr>
        <w:t xml:space="preserve">IV </w:t>
      </w:r>
      <w:r>
        <w:rPr>
          <w:lang w:val="ru-RU" w:eastAsia="ru-RU" w:bidi="ru-RU"/>
          <w:w w:val="100"/>
          <w:spacing w:val="0"/>
          <w:color w:val="000000"/>
          <w:position w:val="0"/>
        </w:rPr>
        <w:t>документации об электронном аукционе по номенклатурной позиции «ГВОЗДИ СТРОИТЕЛЬНЫЕ ГОСТ 4028-63, ГОСТ 283-75» установлен показатель «Размер» с требуемым значением «</w:t>
      </w:r>
      <w:r>
        <w:rPr>
          <w:rStyle w:val="CharStyle17"/>
        </w:rPr>
        <w:t>Диаметр (условный диаметр)</w:t>
      </w:r>
      <w:r>
        <w:rPr>
          <w:lang w:val="ru-RU" w:eastAsia="ru-RU" w:bidi="ru-RU"/>
          <w:w w:val="100"/>
          <w:spacing w:val="0"/>
          <w:color w:val="000000"/>
          <w:position w:val="0"/>
        </w:rPr>
        <w:t xml:space="preserve"> стержня строительных гвоздей, </w:t>
      </w:r>
      <w:r>
        <w:rPr>
          <w:lang w:val="en-US" w:eastAsia="en-US" w:bidi="en-US"/>
          <w:w w:val="100"/>
          <w:spacing w:val="0"/>
          <w:color w:val="000000"/>
          <w:position w:val="0"/>
        </w:rPr>
        <w:t xml:space="preserve">d, </w:t>
      </w:r>
      <w:r>
        <w:rPr>
          <w:rStyle w:val="CharStyle35"/>
        </w:rPr>
        <w:t>1,8.2,5</w:t>
      </w:r>
      <w:r>
        <w:rPr>
          <w:lang w:val="ru-RU" w:eastAsia="ru-RU" w:bidi="ru-RU"/>
          <w:w w:val="100"/>
          <w:spacing w:val="0"/>
          <w:color w:val="000000"/>
          <w:position w:val="0"/>
        </w:rPr>
        <w:t xml:space="preserve"> мм»; по номенклатурной позиции «ЛЕСОМАТЕРИАЛЫ КРУГЛЫЕ ХВОЙНЫХ ПОРОД ДЛЯ СТРОИТЕЛЬСТВА» установлен показатель «Сучья» с требуемым значением «должны быть </w:t>
      </w:r>
      <w:r>
        <w:rPr>
          <w:rStyle w:val="CharStyle17"/>
        </w:rPr>
        <w:t>срезаны (обрублены)</w:t>
      </w:r>
      <w:r>
        <w:rPr>
          <w:lang w:val="ru-RU" w:eastAsia="ru-RU" w:bidi="ru-RU"/>
          <w:w w:val="100"/>
          <w:spacing w:val="0"/>
          <w:color w:val="000000"/>
          <w:position w:val="0"/>
        </w:rPr>
        <w:t xml:space="preserve"> вровень с поверхностью неокоренного бревна»</w:t>
      </w:r>
    </w:p>
    <w:p>
      <w:pPr>
        <w:pStyle w:val="Style15"/>
        <w:widowControl w:val="0"/>
        <w:keepNext w:val="0"/>
        <w:keepLines w:val="0"/>
        <w:shd w:val="clear" w:color="auto" w:fill="auto"/>
        <w:bidi w:val="0"/>
        <w:jc w:val="both"/>
        <w:spacing w:before="0" w:after="0" w:line="274" w:lineRule="exact"/>
        <w:ind w:left="20" w:right="140" w:firstLine="860"/>
      </w:pPr>
      <w:r>
        <w:rPr>
          <w:lang w:val="ru-RU" w:eastAsia="ru-RU" w:bidi="ru-RU"/>
          <w:w w:val="100"/>
          <w:spacing w:val="0"/>
          <w:color w:val="000000"/>
          <w:position w:val="0"/>
        </w:rPr>
        <w:t xml:space="preserve">На основании вышеуказанного положения раздела </w:t>
      </w:r>
      <w:r>
        <w:rPr>
          <w:lang w:val="en-US" w:eastAsia="en-US" w:bidi="en-US"/>
          <w:w w:val="100"/>
          <w:spacing w:val="0"/>
          <w:color w:val="000000"/>
          <w:position w:val="0"/>
        </w:rPr>
        <w:t xml:space="preserve">VI </w:t>
      </w:r>
      <w:r>
        <w:rPr>
          <w:lang w:val="ru-RU" w:eastAsia="ru-RU" w:bidi="ru-RU"/>
          <w:w w:val="100"/>
          <w:spacing w:val="0"/>
          <w:color w:val="000000"/>
          <w:position w:val="0"/>
        </w:rPr>
        <w:t xml:space="preserve">документации об электронном аукционе, ввиду того, что Заказчиком не определено в каких случаях объективно оценить символ скобки </w:t>
      </w:r>
      <w:r>
        <w:rPr>
          <w:rStyle w:val="CharStyle18"/>
        </w:rPr>
        <w:t xml:space="preserve">«(» «)» </w:t>
      </w:r>
      <w:r>
        <w:rPr>
          <w:lang w:val="ru-RU" w:eastAsia="ru-RU" w:bidi="ru-RU"/>
          <w:w w:val="100"/>
          <w:spacing w:val="0"/>
          <w:color w:val="000000"/>
          <w:position w:val="0"/>
        </w:rPr>
        <w:t>как пояснение к значению, а в каких случаях как указание взаимоисключающего значения, Единой комиссии невозможно установить соответствие предлагаемого участником значения «</w:t>
      </w:r>
      <w:r>
        <w:rPr>
          <w:rStyle w:val="CharStyle17"/>
        </w:rPr>
        <w:t>Условный диаметр</w:t>
      </w:r>
      <w:r>
        <w:rPr>
          <w:lang w:val="ru-RU" w:eastAsia="ru-RU" w:bidi="ru-RU"/>
          <w:w w:val="100"/>
          <w:spacing w:val="0"/>
          <w:color w:val="000000"/>
          <w:position w:val="0"/>
        </w:rPr>
        <w:t xml:space="preserve"> стержня строительных гвоздей, </w:t>
      </w:r>
      <w:r>
        <w:rPr>
          <w:lang w:val="en-US" w:eastAsia="en-US" w:bidi="en-US"/>
          <w:w w:val="100"/>
          <w:spacing w:val="0"/>
          <w:color w:val="000000"/>
          <w:position w:val="0"/>
        </w:rPr>
        <w:t xml:space="preserve">d, </w:t>
      </w:r>
      <w:r>
        <w:rPr>
          <w:lang w:val="ru-RU" w:eastAsia="ru-RU" w:bidi="ru-RU"/>
          <w:w w:val="100"/>
          <w:spacing w:val="0"/>
          <w:color w:val="000000"/>
          <w:position w:val="0"/>
        </w:rPr>
        <w:t>2 мм» (цитата из заявки) по номенклатурной позиции «ГВОЗДИ СТРОИТЕЛЬНЫЕ ГОСТ 4028-63, ГОСТ 283-75»; и предлагаемого значения «</w:t>
      </w:r>
      <w:r>
        <w:rPr>
          <w:rStyle w:val="CharStyle17"/>
        </w:rPr>
        <w:t>срезаны</w:t>
      </w:r>
      <w:r>
        <w:rPr>
          <w:lang w:val="ru-RU" w:eastAsia="ru-RU" w:bidi="ru-RU"/>
          <w:w w:val="100"/>
          <w:spacing w:val="0"/>
          <w:color w:val="000000"/>
          <w:position w:val="0"/>
        </w:rPr>
        <w:t xml:space="preserve"> вровень с поверхностью неокоренного бревна» (цитата из заявки) по номенклатурной позиции «ЛЕСОМАТЕРИАЛА! КРУГЛЫЕ ХВОЙНЫХ ПОРОД ДЛЯ СТРОИТЕЛЬСТВА» требованиям документации об электронном аукционе.</w:t>
      </w:r>
      <w:r>
        <w:rPr>
          <w:rStyle w:val="CharStyle34"/>
        </w:rPr>
        <w:t>. » (цитата письменных пояснений).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«1» (Заявитель), предоставленную представителем Уполномоченного органа, с учетом пояснений представителей Заказчика, Уполномоченного органа,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72"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3"/>
        </w:numPr>
        <w:widowControl w:val="0"/>
        <w:keepNext w:val="0"/>
        <w:keepLines w:val="0"/>
        <w:shd w:val="clear" w:color="auto" w:fill="auto"/>
        <w:bidi w:val="0"/>
        <w:jc w:val="both"/>
        <w:spacing w:before="0" w:after="60" w:line="317"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№06/12682.</w:t>
      </w:r>
    </w:p>
    <w:p>
      <w:pPr>
        <w:pStyle w:val="Style7"/>
        <w:widowControl w:val="0"/>
        <w:keepNext w:val="0"/>
        <w:keepLines w:val="0"/>
        <w:shd w:val="clear" w:color="auto" w:fill="auto"/>
        <w:bidi w:val="0"/>
        <w:jc w:val="both"/>
        <w:spacing w:before="0" w:after="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9" w:val="right"/>
          <w:tab w:leader="none" w:pos="8395" w:val="right"/>
          <w:tab w:leader="none" w:pos="965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59" w:val="right"/>
          <w:tab w:leader="none" w:pos="8381"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9659" w:val="right"/>
          <w:tab w:leader="none" w:pos="8386" w:val="right"/>
          <w:tab w:leader="none" w:pos="976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 Комиссии:</w:t>
        <w:tab/>
        <w:t>О.</w:t>
        <w:tab/>
        <w:t>А.</w:t>
        <w:tab/>
        <w:t>Шалимова</w:t>
      </w:r>
    </w:p>
    <w:sectPr>
      <w:footnotePr>
        <w:pos w:val="pageBottom"/>
        <w:numFmt w:val="decimal"/>
        <w:numRestart w:val="continuous"/>
      </w:footnotePr>
      <w:type w:val="continuous"/>
      <w:pgSz w:w="11906" w:h="16838"/>
      <w:pgMar w:top="1335" w:left="728" w:right="598" w:bottom="88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upperRoman"/>
      <w:lvlText w:val="%1."/>
      <w:rPr>
        <w:lang w:val="en-US" w:eastAsia="en-US" w:bidi="en-US"/>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5)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4)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
    <w:basedOn w:val="CharStyle10"/>
    <w:rPr>
      <w:lang w:val="ru-RU" w:eastAsia="ru-RU" w:bidi="ru-RU"/>
      <w:u w:val="single"/>
      <w:w w:val="100"/>
      <w:spacing w:val="0"/>
      <w:color w:val="000000"/>
      <w:position w:val="0"/>
    </w:rPr>
  </w:style>
  <w:style w:type="character" w:customStyle="1" w:styleId="CharStyle14">
    <w:name w:val="Основной текст (2)"/>
    <w:basedOn w:val="CharStyle9"/>
    <w:rPr>
      <w:lang w:val="ru-RU" w:eastAsia="ru-RU" w:bidi="ru-RU"/>
      <w:u w:val="single"/>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w:basedOn w:val="CharStyle16"/>
    <w:rPr>
      <w:lang w:val="ru-RU" w:eastAsia="ru-RU" w:bidi="ru-RU"/>
      <w:u w:val="single"/>
      <w:w w:val="100"/>
      <w:spacing w:val="0"/>
      <w:color w:val="000000"/>
      <w:position w:val="0"/>
    </w:rPr>
  </w:style>
  <w:style w:type="character" w:customStyle="1" w:styleId="CharStyle18">
    <w:name w:val="Основной текст + Полужирный"/>
    <w:basedOn w:val="CharStyle16"/>
    <w:rPr>
      <w:lang w:val="ru-RU" w:eastAsia="ru-RU" w:bidi="ru-RU"/>
      <w:b/>
      <w:bCs/>
      <w:w w:val="100"/>
      <w:spacing w:val="0"/>
      <w:color w:val="000000"/>
      <w:position w:val="0"/>
    </w:rPr>
  </w:style>
  <w:style w:type="character" w:customStyle="1" w:styleId="CharStyle19">
    <w:name w:val="Основной текст + 13 pt"/>
    <w:basedOn w:val="CharStyle16"/>
    <w:rPr>
      <w:lang w:val="ru-RU" w:eastAsia="ru-RU" w:bidi="ru-RU"/>
      <w:u w:val="single"/>
      <w:sz w:val="26"/>
      <w:szCs w:val="26"/>
      <w:w w:val="100"/>
      <w:spacing w:val="0"/>
      <w:color w:val="000000"/>
      <w:position w:val="0"/>
    </w:rPr>
  </w:style>
  <w:style w:type="character" w:customStyle="1" w:styleId="CharStyle20">
    <w:name w:val="Основной текст + 13 pt"/>
    <w:basedOn w:val="CharStyle16"/>
    <w:rPr>
      <w:lang w:val="ru-RU" w:eastAsia="ru-RU" w:bidi="ru-RU"/>
      <w:sz w:val="26"/>
      <w:szCs w:val="26"/>
      <w:w w:val="100"/>
      <w:spacing w:val="0"/>
      <w:color w:val="000000"/>
      <w:position w:val="0"/>
    </w:rPr>
  </w:style>
  <w:style w:type="character" w:customStyle="1" w:styleId="CharStyle21">
    <w:name w:val="Основной текст + Полужирный"/>
    <w:basedOn w:val="CharStyle16"/>
    <w:rPr>
      <w:lang w:val="ru-RU" w:eastAsia="ru-RU" w:bidi="ru-RU"/>
      <w:b/>
      <w:bCs/>
      <w:u w:val="single"/>
      <w:w w:val="100"/>
      <w:spacing w:val="0"/>
      <w:color w:val="000000"/>
      <w:position w:val="0"/>
    </w:rPr>
  </w:style>
  <w:style w:type="character" w:customStyle="1" w:styleId="CharStyle23">
    <w:name w:val="Заголовок №1_"/>
    <w:basedOn w:val="DefaultParagraphFont"/>
    <w:link w:val="Style22"/>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Заголовок №1"/>
    <w:basedOn w:val="CharStyle23"/>
    <w:rPr>
      <w:lang w:val="ru-RU" w:eastAsia="ru-RU" w:bidi="ru-RU"/>
      <w:u w:val="single"/>
      <w:w w:val="100"/>
      <w:spacing w:val="0"/>
      <w:color w:val="000000"/>
      <w:position w:val="0"/>
    </w:rPr>
  </w:style>
  <w:style w:type="character" w:customStyle="1" w:styleId="CharStyle25">
    <w:name w:val="Заголовок №1"/>
    <w:basedOn w:val="CharStyle23"/>
    <w:rPr>
      <w:lang w:val="ru-RU" w:eastAsia="ru-RU" w:bidi="ru-RU"/>
      <w:u w:val="single"/>
      <w:w w:val="100"/>
      <w:spacing w:val="0"/>
      <w:color w:val="000000"/>
      <w:position w:val="0"/>
    </w:rPr>
  </w:style>
  <w:style w:type="character" w:customStyle="1" w:styleId="CharStyle26">
    <w:name w:val="Заголовок №1"/>
    <w:basedOn w:val="CharStyle23"/>
    <w:rPr>
      <w:lang w:val="ru-RU" w:eastAsia="ru-RU" w:bidi="ru-RU"/>
      <w:w w:val="100"/>
      <w:spacing w:val="0"/>
      <w:color w:val="000000"/>
      <w:position w:val="0"/>
    </w:rPr>
  </w:style>
  <w:style w:type="character" w:customStyle="1" w:styleId="CharStyle27">
    <w:name w:val="Основной текст + 7,5 pt,Курсив"/>
    <w:basedOn w:val="CharStyle16"/>
    <w:rPr>
      <w:lang w:val="ru-RU" w:eastAsia="ru-RU" w:bidi="ru-RU"/>
      <w:i/>
      <w:iCs/>
      <w:sz w:val="15"/>
      <w:szCs w:val="15"/>
      <w:w w:val="100"/>
      <w:spacing w:val="0"/>
      <w:color w:val="000000"/>
      <w:position w:val="0"/>
    </w:rPr>
  </w:style>
  <w:style w:type="character" w:customStyle="1" w:styleId="CharStyle28">
    <w:name w:val="Основной текст + 7,5 pt"/>
    <w:basedOn w:val="CharStyle16"/>
    <w:rPr>
      <w:lang w:val="ru-RU" w:eastAsia="ru-RU" w:bidi="ru-RU"/>
      <w:sz w:val="15"/>
      <w:szCs w:val="15"/>
      <w:w w:val="100"/>
      <w:spacing w:val="0"/>
      <w:color w:val="000000"/>
      <w:position w:val="0"/>
    </w:rPr>
  </w:style>
  <w:style w:type="character" w:customStyle="1" w:styleId="CharStyle29">
    <w:name w:val="Заголовок №1 + Интервал 1 pt"/>
    <w:basedOn w:val="CharStyle23"/>
    <w:rPr>
      <w:lang w:val="ru-RU" w:eastAsia="ru-RU" w:bidi="ru-RU"/>
      <w:w w:val="100"/>
      <w:spacing w:val="30"/>
      <w:color w:val="000000"/>
      <w:position w:val="0"/>
    </w:rPr>
  </w:style>
  <w:style w:type="character" w:customStyle="1" w:styleId="CharStyle31">
    <w:name w:val="Основной текст (6)_"/>
    <w:basedOn w:val="DefaultParagraphFont"/>
    <w:link w:val="Style30"/>
    <w:rPr>
      <w:b/>
      <w:bCs/>
      <w:i w:val="0"/>
      <w:iCs w:val="0"/>
      <w:u w:val="none"/>
      <w:strike w:val="0"/>
      <w:smallCaps w:val="0"/>
      <w:sz w:val="20"/>
      <w:szCs w:val="20"/>
      <w:rFonts w:ascii="Times New Roman" w:eastAsia="Times New Roman" w:hAnsi="Times New Roman" w:cs="Times New Roman"/>
    </w:rPr>
  </w:style>
  <w:style w:type="character" w:customStyle="1" w:styleId="CharStyle32">
    <w:name w:val="Основной текст (6) + 13 pt,Не полужирный,Интервал 1 pt"/>
    <w:basedOn w:val="CharStyle31"/>
    <w:rPr>
      <w:lang w:val="ru-RU" w:eastAsia="ru-RU" w:bidi="ru-RU"/>
      <w:b/>
      <w:bCs/>
      <w:sz w:val="26"/>
      <w:szCs w:val="26"/>
      <w:w w:val="100"/>
      <w:spacing w:val="30"/>
      <w:color w:val="000000"/>
      <w:position w:val="0"/>
    </w:rPr>
  </w:style>
  <w:style w:type="character" w:customStyle="1" w:styleId="CharStyle33">
    <w:name w:val="Основной текст (6) + 13 pt,Не полужирный"/>
    <w:basedOn w:val="CharStyle31"/>
    <w:rPr>
      <w:lang w:val="ru-RU" w:eastAsia="ru-RU" w:bidi="ru-RU"/>
      <w:b/>
      <w:bCs/>
      <w:sz w:val="26"/>
      <w:szCs w:val="26"/>
      <w:w w:val="100"/>
      <w:spacing w:val="0"/>
      <w:color w:val="000000"/>
      <w:position w:val="0"/>
    </w:rPr>
  </w:style>
  <w:style w:type="character" w:customStyle="1" w:styleId="CharStyle34">
    <w:name w:val="Основной текст + 13 pt"/>
    <w:basedOn w:val="CharStyle16"/>
    <w:rPr>
      <w:lang w:val="ru-RU" w:eastAsia="ru-RU" w:bidi="ru-RU"/>
      <w:sz w:val="26"/>
      <w:szCs w:val="26"/>
      <w:w w:val="100"/>
      <w:spacing w:val="0"/>
      <w:color w:val="000000"/>
      <w:position w:val="0"/>
    </w:rPr>
  </w:style>
  <w:style w:type="character" w:customStyle="1" w:styleId="CharStyle35">
    <w:name w:val="Основной текст + Интервал 1 pt"/>
    <w:basedOn w:val="CharStyle16"/>
    <w:rPr>
      <w:lang w:val="ru-RU" w:eastAsia="ru-RU" w:bidi="ru-RU"/>
      <w:w w:val="100"/>
      <w:spacing w:val="30"/>
      <w:color w:val="000000"/>
      <w:position w:val="0"/>
    </w:rPr>
  </w:style>
  <w:style w:type="paragraph" w:customStyle="1" w:styleId="Style3">
    <w:name w:val="Основной текст (2)"/>
    <w:basedOn w:val="Normal"/>
    <w:link w:val="CharStyle9"/>
    <w:pPr>
      <w:widowControl w:val="0"/>
      <w:shd w:val="clear" w:color="auto" w:fill="FFFFFF"/>
      <w:jc w:val="center"/>
      <w:spacing w:before="300" w:after="4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5)"/>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3)"/>
    <w:basedOn w:val="Normal"/>
    <w:link w:val="CharStyle10"/>
    <w:pPr>
      <w:widowControl w:val="0"/>
      <w:shd w:val="clear" w:color="auto" w:fill="FFFFFF"/>
      <w:spacing w:before="480" w:line="322" w:lineRule="exact"/>
      <w:ind w:hanging="860"/>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300"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jc w:val="right"/>
      <w:spacing w:before="60" w:line="28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outlineLvl w:val="0"/>
      <w:spacing w:line="317" w:lineRule="exact"/>
      <w:ind w:firstLine="860"/>
    </w:pPr>
    <w:rPr>
      <w:b w:val="0"/>
      <w:bCs w:val="0"/>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spacing w:after="18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