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35" w:h="2350" w:wrap="around" w:hAnchor="margin" w:x="-25" w:y="1122"/>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framePr w:w="4835" w:h="2350" w:wrap="around" w:hAnchor="margin" w:x="-25" w:y="1122"/>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framePr w:w="4835" w:h="2350" w:wrap="around" w:hAnchor="margin" w:x="-25" w:y="1122"/>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widowControl w:val="0"/>
        <w:keepNext w:val="0"/>
        <w:keepLines w:val="0"/>
        <w:shd w:val="clear" w:color="auto" w:fill="auto"/>
        <w:bidi w:val="0"/>
        <w:jc w:val="left"/>
        <w:spacing w:before="1075" w:after="0"/>
        <w:ind w:left="2200" w:right="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ind w:left="0" w:right="320" w:firstLine="0"/>
      </w:pPr>
      <w:r>
        <w:rPr>
          <w:lang w:val="ru-RU" w:eastAsia="ru-RU" w:bidi="ru-RU"/>
          <w:w w:val="100"/>
          <w:spacing w:val="0"/>
          <w:color w:val="000000"/>
          <w:position w:val="0"/>
        </w:rPr>
        <w:t>Государственное унитарное предприятие Республики Крым «Вода Крыма»</w:t>
      </w:r>
    </w:p>
    <w:p>
      <w:pPr>
        <w:pStyle w:val="Style7"/>
        <w:framePr w:w="2848" w:h="1122" w:wrap="around" w:vAnchor="text" w:hAnchor="margin" w:x="-73" w:y="224"/>
        <w:widowControl w:val="0"/>
        <w:keepNext w:val="0"/>
        <w:keepLines w:val="0"/>
        <w:shd w:val="clear" w:color="auto" w:fill="auto"/>
        <w:bidi w:val="0"/>
        <w:jc w:val="both"/>
        <w:spacing w:before="0" w:after="0" w:line="562" w:lineRule="exact"/>
        <w:ind w:left="20" w:right="200" w:firstLine="0"/>
      </w:pPr>
      <w:r>
        <w:rPr>
          <w:rStyle w:val="CharStyle8"/>
          <w:spacing w:val="0"/>
        </w:rPr>
        <w:t>13.11.2017 №06/12958 На № б/н от 07.11.2017</w:t>
      </w:r>
    </w:p>
    <w:p>
      <w:pPr>
        <w:pStyle w:val="Style7"/>
        <w:widowControl w:val="0"/>
        <w:keepNext w:val="0"/>
        <w:keepLines w:val="0"/>
        <w:shd w:val="clear" w:color="auto" w:fill="auto"/>
        <w:bidi w:val="0"/>
        <w:jc w:val="left"/>
        <w:spacing w:before="0" w:after="240"/>
        <w:ind w:left="2200" w:right="320"/>
      </w:pPr>
      <w:r>
        <w:rPr>
          <w:lang w:val="ru-RU" w:eastAsia="ru-RU" w:bidi="ru-RU"/>
          <w:w w:val="100"/>
          <w:spacing w:val="0"/>
          <w:color w:val="000000"/>
          <w:position w:val="0"/>
        </w:rPr>
        <w:t>253053, Республика Крым, г. Симферополь, ул. Киевская, д. 1 А</w:t>
      </w:r>
    </w:p>
    <w:p>
      <w:pPr>
        <w:pStyle w:val="Style7"/>
        <w:numPr>
          <w:ilvl w:val="0"/>
          <w:numId w:val="1"/>
        </w:numPr>
        <w:widowControl w:val="0"/>
        <w:keepNext w:val="0"/>
        <w:keepLines w:val="0"/>
        <w:shd w:val="clear" w:color="auto" w:fill="auto"/>
        <w:bidi w:val="0"/>
        <w:jc w:val="left"/>
        <w:spacing w:before="0" w:after="0"/>
        <w:ind w:left="2200" w:right="0" w:firstLine="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0"/>
        <w:ind w:left="4980" w:right="320" w:firstLine="0"/>
      </w:pPr>
      <w:r>
        <w:rPr>
          <w:lang w:val="ru-RU" w:eastAsia="ru-RU" w:bidi="ru-RU"/>
          <w:w w:val="100"/>
          <w:spacing w:val="0"/>
          <w:color w:val="000000"/>
          <w:position w:val="0"/>
        </w:rPr>
        <w:t>Комитет конкурентной политики Республики Крым</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295022, Республика Крым,</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left"/>
        <w:spacing w:before="0" w:after="240"/>
        <w:ind w:left="4980" w:right="0" w:firstLine="0"/>
      </w:pPr>
      <w:r>
        <w:rPr>
          <w:lang w:val="ru-RU" w:eastAsia="ru-RU" w:bidi="ru-RU"/>
          <w:w w:val="100"/>
          <w:spacing w:val="0"/>
          <w:color w:val="000000"/>
          <w:position w:val="0"/>
        </w:rPr>
        <w:t>ул. Кечкеметская, д. 198 (1 этаж)</w:t>
      </w:r>
    </w:p>
    <w:p>
      <w:pPr>
        <w:pStyle w:val="Style7"/>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ООО СК «Единство»</w:t>
      </w:r>
    </w:p>
    <w:p>
      <w:pPr>
        <w:pStyle w:val="Style7"/>
        <w:widowControl w:val="0"/>
        <w:keepNext w:val="0"/>
        <w:keepLines w:val="0"/>
        <w:shd w:val="clear" w:color="auto" w:fill="auto"/>
        <w:bidi w:val="0"/>
        <w:jc w:val="left"/>
        <w:spacing w:before="0" w:after="240"/>
        <w:ind w:left="4980" w:right="320" w:firstLine="0"/>
      </w:pPr>
      <w:r>
        <w:rPr>
          <w:lang w:val="ru-RU" w:eastAsia="ru-RU" w:bidi="ru-RU"/>
          <w:w w:val="100"/>
          <w:spacing w:val="0"/>
          <w:color w:val="000000"/>
          <w:position w:val="0"/>
        </w:rPr>
        <w:t>660075, г. Красноярск, ул. Красной Гвардии, д. 23</w:t>
      </w:r>
    </w:p>
    <w:p>
      <w:pPr>
        <w:pStyle w:val="Style7"/>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Электронная площадка:</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ООО «РТС-тендер»</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121151, г. Москва, наб. Тараса Шевченко,</w:t>
      </w:r>
    </w:p>
    <w:p>
      <w:pPr>
        <w:pStyle w:val="Style7"/>
        <w:widowControl w:val="0"/>
        <w:keepNext w:val="0"/>
        <w:keepLines w:val="0"/>
        <w:shd w:val="clear" w:color="auto" w:fill="auto"/>
        <w:bidi w:val="0"/>
        <w:jc w:val="left"/>
        <w:spacing w:before="0" w:after="240"/>
        <w:ind w:left="4980" w:right="0" w:firstLine="0"/>
      </w:pPr>
      <w:r>
        <w:rPr>
          <w:lang w:val="ru-RU" w:eastAsia="ru-RU" w:bidi="ru-RU"/>
          <w:w w:val="100"/>
          <w:spacing w:val="0"/>
          <w:color w:val="000000"/>
          <w:position w:val="0"/>
        </w:rPr>
        <w:t>д. 23А, сектор В, 25 этаж</w:t>
      </w:r>
    </w:p>
    <w:p>
      <w:pPr>
        <w:pStyle w:val="Style10"/>
        <w:widowControl w:val="0"/>
        <w:keepNext w:val="0"/>
        <w:keepLines w:val="0"/>
        <w:shd w:val="clear" w:color="auto" w:fill="auto"/>
        <w:bidi w:val="0"/>
        <w:spacing w:before="0" w:after="289"/>
        <w:ind w:left="20" w:right="0" w:firstLine="0"/>
      </w:pPr>
      <w:r>
        <w:rPr>
          <w:lang w:val="ru-RU" w:eastAsia="ru-RU" w:bidi="ru-RU"/>
          <w:w w:val="100"/>
          <w:spacing w:val="0"/>
          <w:color w:val="000000"/>
          <w:position w:val="0"/>
        </w:rPr>
        <w:t>Решение по делу №06/4240-17 о нарушении законодательства Российской Федерации о контрактной системе в сфере закупок</w:t>
      </w:r>
    </w:p>
    <w:p>
      <w:pPr>
        <w:pStyle w:val="Style7"/>
        <w:tabs>
          <w:tab w:leader="none" w:pos="8004" w:val="left"/>
        </w:tabs>
        <w:widowControl w:val="0"/>
        <w:keepNext w:val="0"/>
        <w:keepLines w:val="0"/>
        <w:shd w:val="clear" w:color="auto" w:fill="auto"/>
        <w:bidi w:val="0"/>
        <w:jc w:val="both"/>
        <w:spacing w:before="0" w:after="128" w:line="260" w:lineRule="exact"/>
        <w:ind w:left="300" w:right="0" w:firstLine="0"/>
      </w:pPr>
      <w:r>
        <w:rPr>
          <w:lang w:val="ru-RU" w:eastAsia="ru-RU" w:bidi="ru-RU"/>
          <w:w w:val="100"/>
          <w:spacing w:val="0"/>
          <w:color w:val="000000"/>
          <w:position w:val="0"/>
        </w:rPr>
        <w:t>10.11.2017</w:t>
        <w:tab/>
        <w:t>г. Симферополь</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r>
        <w:br w:type="page"/>
      </w:r>
    </w:p>
    <w:p>
      <w:pPr>
        <w:pStyle w:val="Style7"/>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 при участии представителей интересов:</w:t>
      </w:r>
    </w:p>
    <w:p>
      <w:pPr>
        <w:pStyle w:val="Style7"/>
        <w:widowControl w:val="0"/>
        <w:keepNext w:val="0"/>
        <w:keepLines w:val="0"/>
        <w:shd w:val="clear" w:color="auto" w:fill="auto"/>
        <w:bidi w:val="0"/>
        <w:jc w:val="left"/>
        <w:spacing w:before="0" w:after="0"/>
        <w:ind w:left="0" w:right="0" w:firstLine="860"/>
      </w:pPr>
      <w:r>
        <w:rPr>
          <w:lang w:val="ru-RU" w:eastAsia="ru-RU" w:bidi="ru-RU"/>
          <w:w w:val="100"/>
          <w:spacing w:val="0"/>
          <w:color w:val="000000"/>
          <w:position w:val="0"/>
        </w:rPr>
        <w:t>Уполномоченного органа И. В. Хованского (по доверенности),</w:t>
      </w:r>
    </w:p>
    <w:p>
      <w:pPr>
        <w:pStyle w:val="Style7"/>
        <w:tabs>
          <w:tab w:leader="none" w:pos="10190" w:val="right"/>
        </w:tabs>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Заказчика З. Ш. Водотыки (по доверенности), представители Заявителя на заседание Комиссии не явились, — рассмотрев жалобу Заявителя от 07.11.2017 (вх. №4826/09 от 07.11.2017) на действия Заказчика при проведении электронного аукциона «Выполнение строительно-монтажных работ по объекту «Капитальный ремонт сетей водоснабжения по ул. Таврическая, г. Красноперекопск»» (номер извещения 0175200000417000499)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109"/>
        <w:ind w:left="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center"/>
        <w:spacing w:before="0" w:after="188" w:line="260" w:lineRule="exact"/>
        <w:ind w:left="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По мнению Заявителя, его права и законные интересы нарушены действиями следующими Заказчика:</w:t>
      </w:r>
    </w:p>
    <w:p>
      <w:pPr>
        <w:pStyle w:val="Style7"/>
        <w:numPr>
          <w:ilvl w:val="0"/>
          <w:numId w:val="3"/>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Заказчиком в техническом задании документации об Аукционе установлены требования к компонентам товара и (или) испытаниям товара и (или) показателям (по позициям: болты с гайками и шайбами строительные, бетон тяжелый, класс В7,5, гидрант пожарный подземный, смесь асфальтобетонная мелкозернистая горячая для плотного асфальтобетона тип Б марка I), используемым при выполнении работ, значения которых становятся известными при испытании определенной партии товара после его производства, что нарушает положения Закона о контрактной системе и приводит к невозможности участниками закупки сформировать и подать заявку на участие в Аукционе.</w:t>
      </w:r>
    </w:p>
    <w:p>
      <w:pPr>
        <w:pStyle w:val="Style7"/>
        <w:numPr>
          <w:ilvl w:val="0"/>
          <w:numId w:val="3"/>
        </w:numPr>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 xml:space="preserve"> Заказчиком в проекте контракта установлен срок оплаты выполненных работ с нарушением требований Закона о контрактной системе.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07.11.2017 №06/12683,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20.10.2017;</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5"/>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- 27 706 183,54 рублей;</w:t>
      </w:r>
    </w:p>
    <w:p>
      <w:pPr>
        <w:pStyle w:val="Style7"/>
        <w:numPr>
          <w:ilvl w:val="0"/>
          <w:numId w:val="5"/>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дата и время окончания подачи заявок: 08.11.2017 08:00, дата окончания срока рассмотрения первых частей заявок участников: 14.11.2017, дата проведения Аукциона: 17.11.2017.</w:t>
      </w:r>
    </w:p>
    <w:p>
      <w:pPr>
        <w:pStyle w:val="Style7"/>
        <w:numPr>
          <w:ilvl w:val="0"/>
          <w:numId w:val="7"/>
        </w:numPr>
        <w:tabs>
          <w:tab w:leader="none" w:pos="1249"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В жалобе Заявитель указывает на то, что Заказчиком, в техническом задании документации об Аукционе установлены требования к компонентам товара и (или) испытаниям товара и (или) показателям (по позициям: болты с гайками и шайбами строительные, бетон тяжелый, класс В7,5, гидрант пожарный подземный, смесь асфальтобетонная мелкозернистая горячая для плотного асфальтобетона тип Б марка </w:t>
      </w:r>
      <w:r>
        <w:rPr>
          <w:lang w:val="en-US" w:eastAsia="en-US" w:bidi="en-US"/>
          <w:w w:val="100"/>
          <w:spacing w:val="0"/>
          <w:color w:val="000000"/>
          <w:position w:val="0"/>
        </w:rPr>
        <w:t xml:space="preserve">I), </w:t>
      </w:r>
      <w:r>
        <w:rPr>
          <w:lang w:val="ru-RU" w:eastAsia="ru-RU" w:bidi="ru-RU"/>
          <w:w w:val="100"/>
          <w:spacing w:val="0"/>
          <w:color w:val="000000"/>
          <w:position w:val="0"/>
        </w:rPr>
        <w:t>используемым при выполнении работ, значения которых становятся известными при испытании определенной партии товара после его производства, что нарушает положения Закона о контрактной системе и приводит к невозможности участниками закупки сформировать и подать заявку на участие в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9"/>
        </w:numPr>
        <w:tabs>
          <w:tab w:leader="none" w:pos="1306"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9"/>
        </w:numPr>
        <w:tabs>
          <w:tab w:leader="none" w:pos="1234" w:val="left"/>
        </w:tabs>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Заказчиком в техническом задании документации об Аукционе установлено требование о соответствии товаров, используемых при выполнении работ, указанных в жалобе: </w:t>
      </w:r>
      <w:r>
        <w:rPr>
          <w:rStyle w:val="CharStyle12"/>
        </w:rPr>
        <w:t>«...</w:t>
      </w:r>
    </w:p>
    <w:p>
      <w:pPr>
        <w:pStyle w:val="Style13"/>
        <w:widowControl w:val="0"/>
        <w:keepNext w:val="0"/>
        <w:keepLines w:val="0"/>
        <w:shd w:val="clear" w:color="auto" w:fill="auto"/>
        <w:bidi w:val="0"/>
        <w:spacing w:before="0" w:after="220"/>
        <w:ind w:left="0" w:right="20" w:firstLine="860"/>
      </w:pPr>
      <w:r>
        <w:rPr>
          <w:lang w:val="ru-RU" w:eastAsia="ru-RU" w:bidi="ru-RU"/>
          <w:w w:val="100"/>
          <w:spacing w:val="0"/>
          <w:color w:val="000000"/>
          <w:position w:val="0"/>
        </w:rPr>
        <w:t>Болты с гайками и шайбами строительные. Должны соответствовать ГОСТ Р 52643-2006. Болты должны быть класса п рочности: 10.9/12.9. Гайки должны иметь класс прочности: 10/12. На поверхности болтов, гаек и шайб не должно быть трещин, окалины, ржавчины, заусенцев, вмятин и забоин на резьбе. Заусенцы на опорной поверхности головок болтов и на головках болтов, выходящие за пределы опорной шайбы, и на поверхностях гаек и шайб не допускаются. Допускается применять металлические или неметаллические покрытия болтов, гаек и шайб, при этом покрытия должны быть однородными по всей поверхности изделия, не должны иметь отслоений, вздутий, наплывов, трещин, несплошностей и шелушения. На поверхности изделия не допускается наличие остатков технологической смеси и наплавов.</w:t>
      </w:r>
    </w:p>
    <w:p>
      <w:pPr>
        <w:pStyle w:val="Style13"/>
        <w:widowControl w:val="0"/>
        <w:keepNext w:val="0"/>
        <w:keepLines w:val="0"/>
        <w:shd w:val="clear" w:color="auto" w:fill="auto"/>
        <w:bidi w:val="0"/>
        <w:spacing w:before="0" w:after="99" w:line="180" w:lineRule="exact"/>
        <w:ind w:left="0" w:right="0" w:firstLine="860"/>
      </w:pPr>
      <w:r>
        <w:rPr>
          <w:lang w:val="ru-RU" w:eastAsia="ru-RU" w:bidi="ru-RU"/>
          <w:w w:val="100"/>
          <w:spacing w:val="0"/>
          <w:color w:val="000000"/>
          <w:position w:val="0"/>
        </w:rPr>
        <w:t xml:space="preserve">Бетон тяжелый, класс В7,5. Требуется соответствие ГОСТ 26633-2015. В качестве вяжущих материалов должен применяться сульфатостойкий портландцемент по ГОСТ 22266-2013. В качестве крупных заполнителей для бетонов необходимо применять щебень или гравий из плотных горных пород по ГОСТ 8267-93. В качестве мелкого заполнителя для бетона необходимо применять природный песок. Песок природный, применяемый в качестве мелкого заполнителя должен соответствовать ГОСТ 8736-2014. Допускается использовать портландцемент с минеральными добавками. Щебень, в случае его применения в качестве крупного заполнителя, должен быть из осадочных пород. Наибольшая крупность заполнителя: более 40 мм. Применяемый цемент: ЦЕМ </w:t>
      </w:r>
      <w:r>
        <w:rPr>
          <w:lang w:val="en-US" w:eastAsia="en-US" w:bidi="en-US"/>
          <w:w w:val="100"/>
          <w:spacing w:val="0"/>
          <w:color w:val="000000"/>
          <w:position w:val="0"/>
        </w:rPr>
        <w:t>II</w:t>
      </w:r>
      <w:r>
        <w:rPr>
          <w:lang w:val="ru-RU" w:eastAsia="ru-RU" w:bidi="ru-RU"/>
          <w:w w:val="100"/>
          <w:spacing w:val="0"/>
          <w:color w:val="000000"/>
          <w:position w:val="0"/>
        </w:rPr>
        <w:t xml:space="preserve">/А СС /ЦЕМ I СС / ЦЕМ </w:t>
      </w:r>
      <w:r>
        <w:rPr>
          <w:lang w:val="en-US" w:eastAsia="en-US" w:bidi="en-US"/>
          <w:w w:val="100"/>
          <w:spacing w:val="0"/>
          <w:color w:val="000000"/>
          <w:position w:val="0"/>
        </w:rPr>
        <w:t>II</w:t>
      </w:r>
      <w:r>
        <w:rPr>
          <w:lang w:val="ru-RU" w:eastAsia="ru-RU" w:bidi="ru-RU"/>
          <w:w w:val="100"/>
          <w:spacing w:val="0"/>
          <w:color w:val="000000"/>
          <w:position w:val="0"/>
        </w:rPr>
        <w:t>/В СС.</w:t>
      </w:r>
    </w:p>
    <w:p>
      <w:pPr>
        <w:pStyle w:val="Style13"/>
        <w:widowControl w:val="0"/>
        <w:keepNext w:val="0"/>
        <w:keepLines w:val="0"/>
        <w:shd w:val="clear" w:color="auto" w:fill="auto"/>
        <w:bidi w:val="0"/>
        <w:spacing w:before="0" w:after="184"/>
        <w:ind w:left="20" w:right="20" w:firstLine="860"/>
      </w:pPr>
      <w:r>
        <w:rPr>
          <w:lang w:val="ru-RU" w:eastAsia="ru-RU" w:bidi="ru-RU"/>
          <w:w w:val="100"/>
          <w:spacing w:val="0"/>
          <w:color w:val="000000"/>
          <w:position w:val="0"/>
        </w:rPr>
        <w:t xml:space="preserve">Гидрант пожарный подземный. В зависимости от конструктивных особенностей, открытие (закрытие) гидранта осуществляется - с помощью специального ключа для открытия (закрытия) задвижки гидранта или при вращении ключа колонки, после установки КП (колонка пожарная). Рабочее давление 1 МПа. Высота гидранта Н, мм, от 500 до 3500 включ. Внутренний диаметр корпуса </w:t>
      </w:r>
      <w:r>
        <w:rPr>
          <w:lang w:val="en-US" w:eastAsia="en-US" w:bidi="en-US"/>
          <w:w w:val="100"/>
          <w:spacing w:val="0"/>
          <w:color w:val="000000"/>
          <w:position w:val="0"/>
        </w:rPr>
        <w:t xml:space="preserve">DN </w:t>
      </w:r>
      <w:r>
        <w:rPr>
          <w:lang w:val="ru-RU" w:eastAsia="ru-RU" w:bidi="ru-RU"/>
          <w:w w:val="100"/>
          <w:spacing w:val="0"/>
          <w:color w:val="000000"/>
          <w:position w:val="0"/>
        </w:rPr>
        <w:t>125мм. Число оборотов штанги (штока) до полного открытия гидранта от 12 до 15 включ. Конструкцией гидранта должно быть обеспечено его открытие и закрытие во всем рабочем диапазоне давления. Конструкция гидранта в сборе должна сохранять герметичность соединений и уплотнений при рабочем давлении. Квадрат штанги для соединения гидранта с ключом КП или штока должен составлять 22х22 мм. Гидрант должен быть оснащен устройством для слива оставшейся после работы воды. Резьбовая часть ниппеля гидранта должна быть оборудована откидной крышкой. Конструкция крышки не должна препятствовать свободному навертыванию КП. Требуется соответствие ГОСТ Р 53961-2010.</w:t>
      </w:r>
    </w:p>
    <w:p>
      <w:pPr>
        <w:pStyle w:val="Style13"/>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 xml:space="preserve">Смесь асфальтобетонная мелкозернистая горячая для плотного асфальтобетона тип Б марка </w:t>
      </w:r>
      <w:r>
        <w:rPr>
          <w:lang w:val="en-US" w:eastAsia="en-US" w:bidi="en-US"/>
          <w:w w:val="100"/>
          <w:spacing w:val="0"/>
          <w:color w:val="000000"/>
          <w:position w:val="0"/>
        </w:rPr>
        <w:t xml:space="preserve">I. </w:t>
      </w:r>
      <w:r>
        <w:rPr>
          <w:lang w:val="ru-RU" w:eastAsia="ru-RU" w:bidi="ru-RU"/>
          <w:w w:val="100"/>
          <w:spacing w:val="0"/>
          <w:color w:val="000000"/>
          <w:position w:val="0"/>
        </w:rPr>
        <w:t>Требуется соответствие ГОСТ 9128-2013. Должна представлять собой смесь минеральных материалов (щебня и песка с минеральным порошком) с битумом. Зерновой состав смеси должен быть непрерывный. Щебень из горных пород, входящий в состав смеси, должен соответствовать ГОСТ 8267-93. Минеральный порошок, входящий в состав смесей, должен быть неактивированный или активированный. Минеральный порошок должен соответствовать требованиям ГОСТ Р 52129-2003.</w:t>
      </w:r>
    </w:p>
    <w:p>
      <w:pPr>
        <w:pStyle w:val="Style7"/>
        <w:widowControl w:val="0"/>
        <w:keepNext w:val="0"/>
        <w:keepLines w:val="0"/>
        <w:shd w:val="clear" w:color="auto" w:fill="auto"/>
        <w:bidi w:val="0"/>
        <w:jc w:val="both"/>
        <w:spacing w:before="0" w:after="0"/>
        <w:ind w:left="20" w:right="0" w:firstLine="860"/>
      </w:pPr>
      <w:r>
        <w:rPr>
          <w:rStyle w:val="CharStyle12"/>
        </w:rPr>
        <w:t>.»</w:t>
      </w:r>
      <w:r>
        <w:rPr>
          <w:lang w:val="ru-RU" w:eastAsia="ru-RU" w:bidi="ru-RU"/>
          <w:w w:val="100"/>
          <w:spacing w:val="0"/>
          <w:color w:val="000000"/>
          <w:position w:val="0"/>
        </w:rPr>
        <w:t xml:space="preserve"> (цитаты).</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заседании Комиссии представители Заказчика пояснили, что все требования к товарам и материалам, используемым при выполнении работ по реконструкции здания Заказчика, установлены в соответствии с государственными стандартами Российской Федерации, а также с соблюдением всех необходимых СНиП, регулирующих качество товара, что позволяет участникам закупки определить потребность Заказчика.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части 9 статьи 105 Закона о контрактной системе к жалобе прикладываются документы, подтверждающие ее обоснованность.</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заседании Комиссии, а также в составе жалобы Заявителем не представлено объективных доказательств и документально не подтверждены доводы, изложенные в жалобе, свидетельствующих о нарушении Заказчиком норм Закона о контрактной системе в сфере закупок и невозможности формирования и подачи заявки на участие в Конкурсе ввиду установления таких требований.</w:t>
      </w:r>
    </w:p>
    <w:p>
      <w:pPr>
        <w:pStyle w:val="Style7"/>
        <w:widowControl w:val="0"/>
        <w:keepNext w:val="0"/>
        <w:keepLines w:val="0"/>
        <w:shd w:val="clear" w:color="auto" w:fill="auto"/>
        <w:bidi w:val="0"/>
        <w:jc w:val="both"/>
        <w:spacing w:before="0" w:after="118"/>
        <w:ind w:left="20" w:right="20" w:firstLine="860"/>
      </w:pPr>
      <w:r>
        <w:rPr>
          <w:lang w:val="ru-RU" w:eastAsia="ru-RU" w:bidi="ru-RU"/>
          <w:w w:val="100"/>
          <w:spacing w:val="0"/>
          <w:color w:val="000000"/>
          <w:position w:val="0"/>
        </w:rPr>
        <w:t>Таким образом, Комиссия приходит к выводу о том, что доводы, изложенные в жалобе, не нашли своего подтверждения и являются необоснованными.</w:t>
      </w:r>
    </w:p>
    <w:p>
      <w:pPr>
        <w:pStyle w:val="Style15"/>
        <w:widowControl w:val="0"/>
        <w:keepNext w:val="0"/>
        <w:keepLines w:val="0"/>
        <w:shd w:val="clear" w:color="auto" w:fill="auto"/>
        <w:bidi w:val="0"/>
        <w:spacing w:before="0" w:after="0"/>
        <w:ind w:left="20" w:right="20" w:firstLine="860"/>
      </w:pPr>
      <w:r>
        <w:rPr>
          <w:rStyle w:val="CharStyle17"/>
        </w:rPr>
        <w:t>2. Согласно доводам жалобы: «.</w:t>
      </w:r>
      <w:r>
        <w:rPr>
          <w:lang w:val="ru-RU" w:eastAsia="ru-RU" w:bidi="ru-RU"/>
          <w:w w:val="100"/>
          <w:spacing w:val="0"/>
          <w:color w:val="000000"/>
          <w:position w:val="0"/>
        </w:rPr>
        <w:t>Так же согласно п. 3.5 проекта контракта Оплата принятых в соответствии с п. 7.1 и 7.2 настоящего Контракта выполненных работ от их стоимости, осуществляется заказчиком, в течение 30 (тридцати) календарных дней от даты подписания Акта приемки законченного строительством объекта., на основании подписанных Сторонами акта о приемке выполненных работ по форме № КС-2 и справки о стоимости выполненных работ и затрат № КС-3, выставления подрядчиком счёта на оплату работ.</w:t>
      </w:r>
    </w:p>
    <w:p>
      <w:pPr>
        <w:pStyle w:val="Style15"/>
        <w:widowControl w:val="0"/>
        <w:keepNext w:val="0"/>
        <w:keepLines w:val="0"/>
        <w:shd w:val="clear" w:color="auto" w:fill="auto"/>
        <w:bidi w:val="0"/>
        <w:spacing w:before="0" w:after="52"/>
        <w:ind w:left="20" w:right="20" w:firstLine="860"/>
      </w:pPr>
      <w:r>
        <w:rPr>
          <w:lang w:val="ru-RU" w:eastAsia="ru-RU" w:bidi="ru-RU"/>
          <w:w w:val="100"/>
          <w:spacing w:val="0"/>
          <w:color w:val="000000"/>
          <w:position w:val="0"/>
        </w:rPr>
        <w:t>Однако согласно изменением от 01.05.2017г. 44-ФЗ оплата работ для СМП и СОНКО должна производится в срок не позднее 15 дней. Однако заказчик в проекте контракта этого не предусмотрел, что если договор будет заключен с СМП и СОНКО, то срок оплаты измениться. Считаем, что заказчик должен был прописать в проекте контракта, что если в случае заключения контракта с МП и СОНКО то и срок</w:t>
      </w:r>
    </w:p>
    <w:p>
      <w:pPr>
        <w:pStyle w:val="Style15"/>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оплаты для них будет в срок не позднее 15 дней</w:t>
      </w:r>
      <w:r>
        <w:rPr>
          <w:rStyle w:val="CharStyle17"/>
        </w:rPr>
        <w:t>. » (цитата жалобы).</w:t>
      </w:r>
    </w:p>
    <w:p>
      <w:pPr>
        <w:pStyle w:val="Style7"/>
        <w:widowControl w:val="0"/>
        <w:keepNext w:val="0"/>
        <w:keepLines w:val="0"/>
        <w:shd w:val="clear" w:color="auto" w:fill="auto"/>
        <w:bidi w:val="0"/>
        <w:jc w:val="both"/>
        <w:spacing w:before="0" w:after="0" w:line="260" w:lineRule="exact"/>
        <w:ind w:left="20" w:right="0" w:firstLine="860"/>
      </w:pPr>
      <w:r>
        <w:rPr>
          <w:lang w:val="ru-RU" w:eastAsia="ru-RU" w:bidi="ru-RU"/>
          <w:w w:val="100"/>
          <w:spacing w:val="0"/>
          <w:color w:val="000000"/>
          <w:position w:val="0"/>
        </w:rPr>
        <w:t xml:space="preserve">На заседании Комиссии представитель Заказчика пояснил: «. </w:t>
      </w:r>
      <w:r>
        <w:rPr>
          <w:rStyle w:val="CharStyle18"/>
        </w:rPr>
        <w:t>Довод заявителя об</w:t>
        <w:br w:type="page"/>
        <w:t>отсутствии в Контракте сведений об оплате исполненных Подрядчиком обязательств в течении 15 рабочих дней, не может быть принят во внимание, в связи тем, что в извещении о проведении электронного аукциона, а также в документации о закупке, преимущества в отношении СОНКО и СМП не были установлены, в связи с чем положения части 8 статьи 30 Закона 44-ФЗ о включении в контракт обязательных условий об оплате заказчиком выполненных работ в течении 15 рабочих дней с даты подписания документов о приемке работ применению не подлежит. При отсутствии в извещении о проведении аукциона, а также в документации о закупке требований, предусмотренных частями 1 и 3 статьи 30 Закона № 44-ФЗ, аукцион проводится по общим правилам, предусмотренным положениями Закона № 44-ФЗ</w:t>
      </w:r>
      <w:r>
        <w:rPr>
          <w:rStyle w:val="CharStyle17"/>
        </w:rPr>
        <w:t>.» (цитата письменных пояснений).</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Согласно части 9 статьи 105 Закона о контрактной системе к жалобе прикладываются документы, подтверждающие ее обоснованность.</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На заседании Комиссии, а также в составе жалобы Заявителем не представлено объективных доказательств и документально не подтверждены доводы, изложенные в жалобе, свидетельствующих о нарушении Заказчиком норм Закона о контрактной системе в сфере закупок.</w:t>
      </w:r>
    </w:p>
    <w:p>
      <w:pPr>
        <w:pStyle w:val="Style7"/>
        <w:widowControl w:val="0"/>
        <w:keepNext w:val="0"/>
        <w:keepLines w:val="0"/>
        <w:shd w:val="clear" w:color="auto" w:fill="auto"/>
        <w:bidi w:val="0"/>
        <w:jc w:val="both"/>
        <w:spacing w:before="0" w:after="60"/>
        <w:ind w:left="0" w:right="20" w:firstLine="860"/>
      </w:pPr>
      <w:r>
        <w:rPr>
          <w:lang w:val="ru-RU" w:eastAsia="ru-RU" w:bidi="ru-RU"/>
          <w:w w:val="100"/>
          <w:spacing w:val="0"/>
          <w:color w:val="000000"/>
          <w:position w:val="0"/>
        </w:rPr>
        <w:t>Таким образом, Комиссия приходит к выводу о том, что доводы, изложенные в жалобе, не нашли своего подтверждения и являются необоснованными.</w:t>
      </w:r>
    </w:p>
    <w:p>
      <w:pPr>
        <w:pStyle w:val="Style7"/>
        <w:widowControl w:val="0"/>
        <w:keepNext w:val="0"/>
        <w:keepLines w:val="0"/>
        <w:shd w:val="clear" w:color="auto" w:fill="auto"/>
        <w:bidi w:val="0"/>
        <w:jc w:val="both"/>
        <w:spacing w:before="0" w:after="109"/>
        <w:ind w:left="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center"/>
        <w:spacing w:before="0" w:after="117" w:line="260" w:lineRule="exact"/>
        <w:ind w:left="20" w:right="0" w:firstLine="0"/>
      </w:pPr>
      <w:r>
        <w:rPr>
          <w:lang w:val="ru-RU" w:eastAsia="ru-RU" w:bidi="ru-RU"/>
          <w:w w:val="100"/>
          <w:spacing w:val="0"/>
          <w:color w:val="000000"/>
          <w:position w:val="0"/>
        </w:rPr>
        <w:t>РЕШИЛА:</w:t>
      </w:r>
    </w:p>
    <w:p>
      <w:pPr>
        <w:pStyle w:val="Style7"/>
        <w:numPr>
          <w:ilvl w:val="0"/>
          <w:numId w:val="11"/>
        </w:numPr>
        <w:widowControl w:val="0"/>
        <w:keepNext w:val="0"/>
        <w:keepLines w:val="0"/>
        <w:shd w:val="clear" w:color="auto" w:fill="auto"/>
        <w:bidi w:val="0"/>
        <w:jc w:val="both"/>
        <w:spacing w:before="0" w:after="68" w:line="260" w:lineRule="exact"/>
        <w:ind w:left="0" w:right="0" w:firstLine="860"/>
      </w:pPr>
      <w:r>
        <w:rPr>
          <w:lang w:val="ru-RU" w:eastAsia="ru-RU" w:bidi="ru-RU"/>
          <w:w w:val="100"/>
          <w:spacing w:val="0"/>
          <w:color w:val="000000"/>
          <w:position w:val="0"/>
        </w:rPr>
        <w:t xml:space="preserve"> Признать жалобу Заявителя необоснованной.</w:t>
      </w:r>
    </w:p>
    <w:p>
      <w:pPr>
        <w:pStyle w:val="Style7"/>
        <w:numPr>
          <w:ilvl w:val="0"/>
          <w:numId w:val="11"/>
        </w:numPr>
        <w:widowControl w:val="0"/>
        <w:keepNext w:val="0"/>
        <w:keepLines w:val="0"/>
        <w:shd w:val="clear" w:color="auto" w:fill="auto"/>
        <w:bidi w:val="0"/>
        <w:jc w:val="both"/>
        <w:spacing w:before="0" w:after="64"/>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№06/12683</w:t>
      </w:r>
    </w:p>
    <w:p>
      <w:pPr>
        <w:pStyle w:val="Style7"/>
        <w:widowControl w:val="0"/>
        <w:keepNext w:val="0"/>
        <w:keepLines w:val="0"/>
        <w:shd w:val="clear" w:color="auto" w:fill="auto"/>
        <w:bidi w:val="0"/>
        <w:jc w:val="both"/>
        <w:spacing w:before="0" w:after="339" w:line="317" w:lineRule="exact"/>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66" w:val="right"/>
          <w:tab w:leader="none" w:pos="8282" w:val="center"/>
          <w:tab w:leader="none" w:pos="9602"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8282" w:val="center"/>
          <w:tab w:leader="none" w:pos="8256" w:val="center"/>
          <w:tab w:leader="none" w:pos="9602"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1"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footnotePr>
        <w:pos w:val="pageBottom"/>
        <w:numFmt w:val="decimal"/>
        <w:numRestart w:val="continuous"/>
      </w:footnotePr>
      <w:type w:val="continuous"/>
      <w:pgSz w:w="11906" w:h="16838"/>
      <w:pgMar w:top="1569" w:left="917" w:right="759" w:bottom="105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ru-RU" w:eastAsia="ru-RU" w:bidi="ru-RU"/>
      <w:w w:val="100"/>
      <w:spacing w:val="0"/>
      <w:color w:val="000000"/>
      <w:position w:val="0"/>
    </w:rPr>
  </w:style>
  <w:style w:type="character" w:customStyle="1" w:styleId="CharStyle14">
    <w:name w:val="Основной текст (5)_"/>
    <w:basedOn w:val="DefaultParagraphFont"/>
    <w:link w:val="Style13"/>
    <w:rPr>
      <w:b/>
      <w:bCs/>
      <w:i w:val="0"/>
      <w:iCs w:val="0"/>
      <w:u w:val="none"/>
      <w:strike w:val="0"/>
      <w:smallCaps w:val="0"/>
      <w:sz w:val="18"/>
      <w:szCs w:val="18"/>
      <w:rFonts w:ascii="Times New Roman" w:eastAsia="Times New Roman" w:hAnsi="Times New Roman" w:cs="Times New Roman"/>
    </w:rPr>
  </w:style>
  <w:style w:type="character" w:customStyle="1" w:styleId="CharStyle16">
    <w:name w:val="Основной текст (6)_"/>
    <w:basedOn w:val="DefaultParagraphFont"/>
    <w:link w:val="Style15"/>
    <w:rPr>
      <w:b w:val="0"/>
      <w:bCs w:val="0"/>
      <w:i w:val="0"/>
      <w:iCs w:val="0"/>
      <w:u w:val="none"/>
      <w:strike w:val="0"/>
      <w:smallCaps w:val="0"/>
      <w:sz w:val="21"/>
      <w:szCs w:val="21"/>
      <w:rFonts w:ascii="Times New Roman" w:eastAsia="Times New Roman" w:hAnsi="Times New Roman" w:cs="Times New Roman"/>
    </w:rPr>
  </w:style>
  <w:style w:type="character" w:customStyle="1" w:styleId="CharStyle17">
    <w:name w:val="Основной текст (6) + 13 pt"/>
    <w:basedOn w:val="CharStyle16"/>
    <w:rPr>
      <w:lang w:val="ru-RU" w:eastAsia="ru-RU" w:bidi="ru-RU"/>
      <w:sz w:val="26"/>
      <w:szCs w:val="26"/>
      <w:w w:val="100"/>
      <w:spacing w:val="0"/>
      <w:color w:val="000000"/>
      <w:position w:val="0"/>
    </w:rPr>
  </w:style>
  <w:style w:type="character" w:customStyle="1" w:styleId="CharStyle18">
    <w:name w:val="Основной текст + 10,5 pt"/>
    <w:basedOn w:val="CharStyle9"/>
    <w:rPr>
      <w:lang w:val="ru-RU" w:eastAsia="ru-RU" w:bidi="ru-RU"/>
      <w:sz w:val="21"/>
      <w:szCs w:val="21"/>
      <w:w w:val="100"/>
      <w:spacing w:val="0"/>
      <w:color w:val="000000"/>
      <w:position w:val="0"/>
    </w:rPr>
  </w:style>
  <w:style w:type="paragraph" w:customStyle="1" w:styleId="Style3">
    <w:name w:val="Основной текст (3)"/>
    <w:basedOn w:val="Normal"/>
    <w:link w:val="CharStyle4"/>
    <w:pPr>
      <w:widowControl w:val="0"/>
      <w:shd w:val="clear" w:color="auto" w:fill="FFFFFF"/>
      <w:jc w:val="center"/>
      <w:spacing w:after="180" w:line="278"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1140" w:line="322" w:lineRule="exact"/>
      <w:ind w:hanging="2200"/>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5)"/>
    <w:basedOn w:val="Normal"/>
    <w:link w:val="CharStyle14"/>
    <w:pPr>
      <w:widowControl w:val="0"/>
      <w:shd w:val="clear" w:color="auto" w:fill="FFFFFF"/>
      <w:jc w:val="both"/>
      <w:spacing w:after="180" w:line="230" w:lineRule="exact"/>
    </w:pPr>
    <w:rPr>
      <w:b/>
      <w:bCs/>
      <w:i w:val="0"/>
      <w:iCs w:val="0"/>
      <w:u w:val="none"/>
      <w:strike w:val="0"/>
      <w:smallCaps w:val="0"/>
      <w:sz w:val="18"/>
      <w:szCs w:val="18"/>
      <w:rFonts w:ascii="Times New Roman" w:eastAsia="Times New Roman" w:hAnsi="Times New Roman" w:cs="Times New Roman"/>
    </w:rPr>
  </w:style>
  <w:style w:type="paragraph" w:customStyle="1" w:styleId="Style15">
    <w:name w:val="Основной текст (6)"/>
    <w:basedOn w:val="Normal"/>
    <w:link w:val="CharStyle16"/>
    <w:pPr>
      <w:widowControl w:val="0"/>
      <w:shd w:val="clear" w:color="auto" w:fill="FFFFFF"/>
      <w:jc w:val="both"/>
      <w:spacing w:before="60" w:line="250" w:lineRule="exact"/>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