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6"/>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spacing w:before="0" w:after="0" w:line="269" w:lineRule="exact"/>
        <w:ind w:left="0" w:right="0" w:firstLine="0"/>
      </w:pPr>
      <w:r>
        <w:rPr>
          <w:rStyle w:val="CharStyle5"/>
        </w:rPr>
        <w:t>УПРАВЛЕНИЕ Федеральной антимонопольной службы по Республике Татарстан</w:t>
      </w:r>
    </w:p>
    <w:p>
      <w:pPr>
        <w:pStyle w:val="Style3"/>
        <w:widowControl w:val="0"/>
        <w:keepNext w:val="0"/>
        <w:keepLines w:val="0"/>
        <w:shd w:val="clear" w:color="auto" w:fill="auto"/>
        <w:bidi w:val="0"/>
        <w:spacing w:before="0" w:after="236"/>
        <w:ind w:left="0" w:right="0" w:firstLine="0"/>
      </w:pPr>
      <w:r>
        <w:rPr>
          <w:rStyle w:val="CharStyle5"/>
        </w:rPr>
        <w:t>МОНОПОЛИЯГЭ КАРШЫ ФЕДЕРАЛЬ ХЕЗМЭТ</w:t>
      </w:r>
    </w:p>
    <w:p>
      <w:pPr>
        <w:pStyle w:val="Style3"/>
        <w:widowControl w:val="0"/>
        <w:keepNext w:val="0"/>
        <w:keepLines w:val="0"/>
        <w:shd w:val="clear" w:color="auto" w:fill="auto"/>
        <w:bidi w:val="0"/>
        <w:spacing w:before="0" w:after="0" w:line="269" w:lineRule="exact"/>
        <w:ind w:left="0" w:right="0" w:firstLine="0"/>
        <w:sectPr>
          <w:footnotePr>
            <w:pos w:val="pageBottom"/>
            <w:numFmt w:val="decimal"/>
            <w:numRestart w:val="continuous"/>
          </w:footnotePr>
          <w:type w:val="continuous"/>
          <w:pgSz w:w="11906" w:h="16838"/>
          <w:pgMar w:top="386" w:left="999" w:right="1901" w:bottom="381" w:header="0" w:footer="3" w:gutter="0"/>
          <w:rtlGutter w:val="0"/>
          <w:cols w:num="2" w:space="720" w:equalWidth="0">
            <w:col w:w="3864" w:space="2112"/>
            <w:col w:w="3029"/>
          </w:cols>
          <w:noEndnote/>
          <w:docGrid w:linePitch="360"/>
        </w:sectPr>
      </w:pPr>
      <w:r>
        <w:rPr>
          <w:rStyle w:val="CharStyle5"/>
        </w:rPr>
        <w:t>Монополия! а карты Федераль хезматнен Татарстан Республикасы буенча идарэсе</w:t>
      </w: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ind w:left="0" w:right="0" w:firstLine="0"/>
      </w:pPr>
      <w:r>
        <w:rPr>
          <w:rStyle w:val="CharStyle8"/>
          <w:b/>
          <w:bCs/>
        </w:rPr>
        <w:t xml:space="preserve">ул. Московская, д. 55. г. Кагань, 420021 </w:t>
      </w:r>
      <w:r>
        <w:rPr>
          <w:rStyle w:val="CharStyle9"/>
          <w:b w:val="0"/>
          <w:bCs w:val="0"/>
        </w:rPr>
        <w:t>1</w:t>
      </w:r>
      <w:r>
        <w:rPr>
          <w:rStyle w:val="CharStyle10"/>
          <w:b/>
          <w:bCs/>
        </w:rPr>
        <w:t xml:space="preserve">ел.: (843) 236-89-22, факс (843) 238-19-46 </w:t>
      </w:r>
      <w:r>
        <w:rPr>
          <w:rStyle w:val="CharStyle10"/>
          <w:lang w:val="en-US" w:eastAsia="en-US" w:bidi="en-US"/>
          <w:b/>
          <w:bCs/>
        </w:rPr>
        <w:t xml:space="preserve">e-mail: </w:t>
      </w:r>
      <w:r>
        <w:fldChar w:fldCharType="begin"/>
      </w:r>
      <w:r>
        <w:rPr>
          <w:rStyle w:val="CharStyle10"/>
        </w:rPr>
        <w:instrText> HYPERLINK "mailto:tol6@fas.gov.ru" </w:instrText>
      </w:r>
      <w:r>
        <w:fldChar w:fldCharType="separate"/>
      </w:r>
      <w:r>
        <w:rPr>
          <w:rStyle w:val="Hyperlink"/>
          <w:lang w:val="en-US" w:eastAsia="en-US" w:bidi="en-US"/>
          <w:b/>
          <w:bCs/>
        </w:rPr>
        <w:t>tol6@fas.gov.ru</w:t>
      </w:r>
      <w:r>
        <w:fldChar w:fldCharType="end"/>
      </w:r>
    </w:p>
    <w:p>
      <w:pPr>
        <w:pStyle w:val="Style6"/>
        <w:widowControl w:val="0"/>
        <w:keepNext w:val="0"/>
        <w:keepLines w:val="0"/>
        <w:shd w:val="clear" w:color="auto" w:fill="auto"/>
        <w:bidi w:val="0"/>
        <w:spacing w:before="0" w:after="0"/>
        <w:ind w:left="0" w:right="0" w:firstLine="0"/>
        <w:sectPr>
          <w:type w:val="continuous"/>
          <w:pgSz w:w="11906" w:h="16838"/>
          <w:pgMar w:top="386" w:left="1523" w:right="1941" w:bottom="381" w:header="0" w:footer="3" w:gutter="0"/>
          <w:rtlGutter w:val="0"/>
          <w:cols w:num="2" w:space="2664"/>
          <w:noEndnote/>
          <w:docGrid w:linePitch="360"/>
        </w:sectPr>
      </w:pPr>
      <w:r>
        <w:rPr>
          <w:rStyle w:val="CharStyle11"/>
          <w:b w:val="0"/>
          <w:bCs w:val="0"/>
        </w:rPr>
        <w:t xml:space="preserve">Мэскзу </w:t>
      </w:r>
      <w:r>
        <w:rPr>
          <w:rStyle w:val="CharStyle11"/>
          <w:lang w:val="en-US" w:eastAsia="en-US" w:bidi="en-US"/>
          <w:b w:val="0"/>
          <w:bCs w:val="0"/>
        </w:rPr>
        <w:t xml:space="preserve">vp., </w:t>
      </w:r>
      <w:r>
        <w:rPr>
          <w:rStyle w:val="CharStyle11"/>
          <w:b w:val="0"/>
          <w:bCs w:val="0"/>
        </w:rPr>
        <w:t xml:space="preserve">55 порт, </w:t>
      </w:r>
      <w:r>
        <w:rPr>
          <w:rStyle w:val="CharStyle11"/>
          <w:lang w:val="en-US" w:eastAsia="en-US" w:bidi="en-US"/>
          <w:b w:val="0"/>
          <w:bCs w:val="0"/>
        </w:rPr>
        <w:t xml:space="preserve">Karan niohopc. </w:t>
      </w:r>
      <w:r>
        <w:rPr>
          <w:rStyle w:val="CharStyle11"/>
          <w:b w:val="0"/>
          <w:bCs w:val="0"/>
        </w:rPr>
        <w:t>42002</w:t>
      </w:r>
      <w:r>
        <w:rPr>
          <w:rStyle w:val="CharStyle11"/>
          <w:lang w:val="en-US" w:eastAsia="en-US" w:bidi="en-US"/>
          <w:b w:val="0"/>
          <w:bCs w:val="0"/>
        </w:rPr>
        <w:t xml:space="preserve">1 </w:t>
      </w:r>
      <w:r>
        <w:rPr>
          <w:rStyle w:val="CharStyle10"/>
          <w:b/>
          <w:bCs/>
        </w:rPr>
        <w:t xml:space="preserve">гел.: </w:t>
      </w:r>
      <w:r>
        <w:rPr>
          <w:rStyle w:val="CharStyle10"/>
          <w:lang w:val="en-US" w:eastAsia="en-US" w:bidi="en-US"/>
          <w:b/>
          <w:bCs/>
        </w:rPr>
        <w:t xml:space="preserve">(843) 236-89-22, </w:t>
      </w:r>
      <w:r>
        <w:rPr>
          <w:rStyle w:val="CharStyle11"/>
          <w:b w:val="0"/>
          <w:bCs w:val="0"/>
        </w:rPr>
        <w:t xml:space="preserve">факс </w:t>
      </w:r>
      <w:r>
        <w:rPr>
          <w:rStyle w:val="CharStyle10"/>
          <w:b/>
          <w:bCs/>
        </w:rPr>
        <w:t xml:space="preserve">(843) 238-19-46 </w:t>
      </w:r>
      <w:r>
        <w:rPr>
          <w:rStyle w:val="CharStyle10"/>
          <w:lang w:val="en-US" w:eastAsia="en-US" w:bidi="en-US"/>
          <w:b/>
          <w:bCs/>
        </w:rPr>
        <w:t xml:space="preserve">e-mail: </w:t>
      </w:r>
      <w:r>
        <w:fldChar w:fldCharType="begin"/>
      </w:r>
      <w:r>
        <w:rPr>
          <w:rStyle w:val="CharStyle10"/>
        </w:rPr>
        <w:instrText> HYPERLINK "mailto:iol6@fas.gov.ru" </w:instrText>
      </w:r>
      <w:r>
        <w:fldChar w:fldCharType="separate"/>
      </w:r>
      <w:r>
        <w:rPr>
          <w:rStyle w:val="Hyperlink"/>
          <w:lang w:val="en-US" w:eastAsia="en-US" w:bidi="en-US"/>
          <w:b/>
          <w:bCs/>
        </w:rPr>
        <w:t>iol6@fas.gov.ru</w:t>
      </w:r>
      <w:r>
        <w:fldChar w:fldCharType="end"/>
      </w:r>
    </w:p>
    <w:p>
      <w:pPr>
        <w:widowControl w:val="0"/>
        <w:spacing w:line="91"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keepLines/>
        <w:shd w:val="clear" w:color="auto" w:fill="auto"/>
        <w:bidi w:val="0"/>
        <w:jc w:val="left"/>
        <w:spacing w:before="0" w:after="368" w:line="480" w:lineRule="exact"/>
        <w:ind w:left="680" w:right="0" w:firstLine="0"/>
      </w:pPr>
      <w:bookmarkStart w:id="0" w:name="bookmark0"/>
      <w:r>
        <w:rPr>
          <w:rStyle w:val="CharStyle14"/>
          <w:i/>
          <w:iCs/>
        </w:rPr>
        <w:t>Ж к ММ</w:t>
      </w:r>
      <w:r>
        <w:rPr>
          <w:rStyle w:val="CharStyle15"/>
          <w:i w:val="0"/>
          <w:iCs w:val="0"/>
        </w:rPr>
        <w:t xml:space="preserve"> </w:t>
      </w:r>
      <w:r>
        <w:rPr>
          <w:rStyle w:val="CharStyle16"/>
          <w:i w:val="0"/>
          <w:iCs w:val="0"/>
        </w:rPr>
        <w:t>М,</w:t>
      </w:r>
      <w:bookmarkEnd w:id="0"/>
    </w:p>
    <w:p>
      <w:pPr>
        <w:pStyle w:val="Style17"/>
        <w:tabs>
          <w:tab w:leader="none" w:pos="2523" w:val="right"/>
        </w:tabs>
        <w:widowControl w:val="0"/>
        <w:keepNext w:val="0"/>
        <w:keepLines w:val="0"/>
        <w:shd w:val="clear" w:color="auto" w:fill="auto"/>
        <w:bidi w:val="0"/>
        <w:spacing w:before="0" w:after="0" w:line="200" w:lineRule="exact"/>
        <w:ind w:left="20" w:right="0"/>
      </w:pPr>
      <w:r>
        <w:rPr>
          <w:rStyle w:val="CharStyle19"/>
        </w:rPr>
        <w:t>На №</w:t>
        <w:tab/>
        <w:t>от</w:t>
      </w:r>
    </w:p>
    <w:p>
      <w:pPr>
        <w:pStyle w:val="Style20"/>
        <w:widowControl w:val="0"/>
        <w:keepNext w:val="0"/>
        <w:keepLines w:val="0"/>
        <w:shd w:val="clear" w:color="auto" w:fill="auto"/>
        <w:bidi w:val="0"/>
        <w:jc w:val="left"/>
        <w:spacing w:before="0" w:after="298"/>
        <w:ind w:left="5360" w:right="480" w:firstLine="0"/>
      </w:pPr>
      <w:r>
        <w:rPr>
          <w:lang w:val="ru-RU" w:eastAsia="ru-RU" w:bidi="ru-RU"/>
          <w:sz w:val="24"/>
          <w:szCs w:val="24"/>
          <w:w w:val="100"/>
          <w:spacing w:val="0"/>
          <w:color w:val="000000"/>
          <w:position w:val="0"/>
        </w:rPr>
        <w:t>ФКУ «ФЕДЕРАЛЬНОЕ УПРАВЛЕНИЕ АВТОМОБИЛЬНЫХ ДОРОГ ВОЛГО- ВЯТСКОГО РЕГИОНА ФЕДЕРАЛЬНОГО ДОРОЖНОГО АГЕНТСТВА»</w:t>
      </w:r>
    </w:p>
    <w:p>
      <w:pPr>
        <w:pStyle w:val="Style20"/>
        <w:widowControl w:val="0"/>
        <w:keepNext w:val="0"/>
        <w:keepLines w:val="0"/>
        <w:shd w:val="clear" w:color="auto" w:fill="auto"/>
        <w:bidi w:val="0"/>
        <w:jc w:val="left"/>
        <w:spacing w:before="0" w:after="0" w:line="240" w:lineRule="exact"/>
        <w:ind w:left="5360" w:right="0" w:firstLine="0"/>
      </w:pPr>
      <w:r>
        <w:rPr>
          <w:lang w:val="ru-RU" w:eastAsia="ru-RU" w:bidi="ru-RU"/>
          <w:sz w:val="24"/>
          <w:szCs w:val="24"/>
          <w:w w:val="100"/>
          <w:spacing w:val="0"/>
          <w:color w:val="000000"/>
          <w:position w:val="0"/>
        </w:rPr>
        <w:t>Заявителям:</w:t>
      </w:r>
    </w:p>
    <w:p>
      <w:pPr>
        <w:pStyle w:val="Style20"/>
        <w:widowControl w:val="0"/>
        <w:keepNext w:val="0"/>
        <w:keepLines w:val="0"/>
        <w:shd w:val="clear" w:color="auto" w:fill="auto"/>
        <w:bidi w:val="0"/>
        <w:jc w:val="left"/>
        <w:spacing w:before="0" w:after="244" w:line="322" w:lineRule="exact"/>
        <w:ind w:left="5360" w:right="480" w:firstLine="0"/>
      </w:pPr>
      <w:r>
        <w:rPr>
          <w:lang w:val="ru-RU" w:eastAsia="ru-RU" w:bidi="ru-RU"/>
          <w:sz w:val="24"/>
          <w:szCs w:val="24"/>
          <w:w w:val="100"/>
          <w:spacing w:val="0"/>
          <w:color w:val="000000"/>
          <w:position w:val="0"/>
        </w:rPr>
        <w:t xml:space="preserve">ООО «Новая Линия» </w:t>
      </w:r>
      <w:r>
        <w:fldChar w:fldCharType="begin"/>
      </w:r>
      <w:r>
        <w:rPr>
          <w:rStyle w:val="CharStyle22"/>
        </w:rPr>
        <w:instrText> HYPERLINK "mailto:info@pik.com" </w:instrText>
      </w:r>
      <w:r>
        <w:fldChar w:fldCharType="separate"/>
      </w:r>
      <w:r>
        <w:rPr>
          <w:rStyle w:val="Hyperlink"/>
          <w:lang w:val="en-US" w:eastAsia="en-US" w:bidi="en-US"/>
        </w:rPr>
        <w:t>info@pik.com</w:t>
      </w:r>
      <w:r>
        <w:fldChar w:fldCharType="end"/>
      </w:r>
    </w:p>
    <w:p>
      <w:pPr>
        <w:pStyle w:val="Style20"/>
        <w:widowControl w:val="0"/>
        <w:keepNext w:val="0"/>
        <w:keepLines w:val="0"/>
        <w:shd w:val="clear" w:color="auto" w:fill="auto"/>
        <w:bidi w:val="0"/>
        <w:jc w:val="left"/>
        <w:spacing w:before="0" w:after="604" w:line="317" w:lineRule="exact"/>
        <w:ind w:left="5360" w:right="480" w:firstLine="0"/>
      </w:pPr>
      <w:r>
        <w:rPr>
          <w:lang w:val="ru-RU" w:eastAsia="ru-RU" w:bidi="ru-RU"/>
          <w:sz w:val="24"/>
          <w:szCs w:val="24"/>
          <w:w w:val="100"/>
          <w:spacing w:val="0"/>
          <w:color w:val="000000"/>
          <w:position w:val="0"/>
        </w:rPr>
        <w:t xml:space="preserve">ООО «Перспектива» </w:t>
      </w:r>
      <w:r>
        <w:rPr>
          <w:rStyle w:val="CharStyle22"/>
          <w:lang w:val="en-US" w:eastAsia="en-US" w:bidi="en-US"/>
        </w:rPr>
        <w:t xml:space="preserve">pers-tender@mai </w:t>
      </w:r>
      <w:r>
        <w:rPr>
          <w:rStyle w:val="CharStyle22"/>
        </w:rPr>
        <w:t xml:space="preserve">1 </w:t>
      </w:r>
      <w:r>
        <w:rPr>
          <w:rStyle w:val="CharStyle22"/>
          <w:lang w:val="en-US" w:eastAsia="en-US" w:bidi="en-US"/>
        </w:rPr>
        <w:t>.ru</w:t>
      </w:r>
    </w:p>
    <w:p>
      <w:pPr>
        <w:pStyle w:val="Style20"/>
        <w:widowControl w:val="0"/>
        <w:keepNext w:val="0"/>
        <w:keepLines w:val="0"/>
        <w:shd w:val="clear" w:color="auto" w:fill="auto"/>
        <w:bidi w:val="0"/>
        <w:jc w:val="center"/>
        <w:spacing w:before="0" w:after="298"/>
        <w:ind w:left="280" w:right="0" w:firstLine="0"/>
      </w:pPr>
      <w:r>
        <w:rPr>
          <w:rStyle w:val="CharStyle23"/>
        </w:rPr>
        <w:t>РЕШЕНИЕ</w:t>
      </w:r>
      <w:r>
        <w:rPr>
          <w:lang w:val="ru-RU" w:eastAsia="ru-RU" w:bidi="ru-RU"/>
          <w:sz w:val="24"/>
          <w:szCs w:val="24"/>
          <w:w w:val="100"/>
          <w:spacing w:val="0"/>
          <w:color w:val="000000"/>
          <w:position w:val="0"/>
        </w:rPr>
        <w:t xml:space="preserve"> по делу №506-кз/2017 о нарушении законодательства в сфере закупок товаров, работ, услуг для обеспечения государственных и муниципальных нужд</w:t>
      </w:r>
    </w:p>
    <w:p>
      <w:pPr>
        <w:pStyle w:val="Style20"/>
        <w:tabs>
          <w:tab w:leader="none" w:pos="9169" w:val="right"/>
          <w:tab w:leader="none" w:pos="10073" w:val="right"/>
        </w:tabs>
        <w:widowControl w:val="0"/>
        <w:keepNext w:val="0"/>
        <w:keepLines w:val="0"/>
        <w:shd w:val="clear" w:color="auto" w:fill="auto"/>
        <w:bidi w:val="0"/>
        <w:jc w:val="both"/>
        <w:spacing w:before="0" w:after="246" w:line="240" w:lineRule="exact"/>
        <w:ind w:left="20" w:right="0" w:firstLine="0"/>
      </w:pPr>
      <w:r>
        <w:rPr>
          <w:lang w:val="ru-RU" w:eastAsia="ru-RU" w:bidi="ru-RU"/>
          <w:sz w:val="24"/>
          <w:szCs w:val="24"/>
          <w:w w:val="100"/>
          <w:spacing w:val="0"/>
          <w:color w:val="000000"/>
          <w:position w:val="0"/>
        </w:rPr>
        <w:t>01 ноября 2017 года</w:t>
        <w:tab/>
        <w:t>г.</w:t>
        <w:tab/>
        <w:t>Казань</w:t>
      </w:r>
    </w:p>
    <w:p>
      <w:pPr>
        <w:pStyle w:val="Style20"/>
        <w:widowControl w:val="0"/>
        <w:keepNext w:val="0"/>
        <w:keepLines w:val="0"/>
        <w:shd w:val="clear" w:color="auto" w:fill="auto"/>
        <w:bidi w:val="0"/>
        <w:jc w:val="both"/>
        <w:spacing w:before="0" w:after="0" w:line="317" w:lineRule="exact"/>
        <w:ind w:left="20" w:right="3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0"/>
        <w:tabs>
          <w:tab w:leader="none" w:pos="5853" w:val="left"/>
        </w:tabs>
        <w:widowControl w:val="0"/>
        <w:keepNext w:val="0"/>
        <w:keepLines w:val="0"/>
        <w:shd w:val="clear" w:color="auto" w:fill="auto"/>
        <w:bidi w:val="0"/>
        <w:jc w:val="both"/>
        <w:spacing w:before="0" w:after="0" w:line="317" w:lineRule="exact"/>
        <w:ind w:left="820" w:right="0" w:firstLine="0"/>
      </w:pPr>
      <w:r>
        <w:rPr>
          <w:lang w:val="ru-RU" w:eastAsia="ru-RU" w:bidi="ru-RU"/>
          <w:sz w:val="24"/>
          <w:szCs w:val="24"/>
          <w:w w:val="100"/>
          <w:spacing w:val="0"/>
          <w:color w:val="000000"/>
          <w:position w:val="0"/>
        </w:rPr>
        <w:t>Заместителя Председателя Комиссии:</w:t>
        <w:tab/>
        <w:t>Яфизова А.А. - начальника</w:t>
      </w:r>
    </w:p>
    <w:p>
      <w:pPr>
        <w:pStyle w:val="Style20"/>
        <w:widowControl w:val="0"/>
        <w:keepNext w:val="0"/>
        <w:keepLines w:val="0"/>
        <w:shd w:val="clear" w:color="auto" w:fill="auto"/>
        <w:bidi w:val="0"/>
        <w:jc w:val="left"/>
        <w:spacing w:before="0" w:after="0" w:line="317" w:lineRule="exact"/>
        <w:ind w:left="5940" w:right="0" w:firstLine="0"/>
      </w:pPr>
      <w:r>
        <w:rPr>
          <w:lang w:val="ru-RU" w:eastAsia="ru-RU" w:bidi="ru-RU"/>
          <w:sz w:val="24"/>
          <w:szCs w:val="24"/>
          <w:w w:val="100"/>
          <w:spacing w:val="0"/>
          <w:color w:val="000000"/>
          <w:position w:val="0"/>
        </w:rPr>
        <w:t>отдела,</w:t>
      </w:r>
    </w:p>
    <w:p>
      <w:pPr>
        <w:pStyle w:val="Style20"/>
        <w:tabs>
          <w:tab w:leader="none" w:pos="5853" w:val="left"/>
          <w:tab w:leader="none" w:pos="10073" w:val="right"/>
        </w:tabs>
        <w:widowControl w:val="0"/>
        <w:keepNext w:val="0"/>
        <w:keepLines w:val="0"/>
        <w:shd w:val="clear" w:color="auto" w:fill="auto"/>
        <w:bidi w:val="0"/>
        <w:jc w:val="both"/>
        <w:spacing w:before="0" w:after="0" w:line="317" w:lineRule="exact"/>
        <w:ind w:left="820" w:right="0" w:firstLine="0"/>
      </w:pPr>
      <w:r>
        <w:rPr>
          <w:lang w:val="ru-RU" w:eastAsia="ru-RU" w:bidi="ru-RU"/>
          <w:sz w:val="24"/>
          <w:szCs w:val="24"/>
          <w:w w:val="100"/>
          <w:spacing w:val="0"/>
          <w:color w:val="000000"/>
          <w:position w:val="0"/>
        </w:rPr>
        <w:t>Членов Комиссии:</w:t>
        <w:tab/>
        <w:t>Амировой</w:t>
        <w:tab/>
        <w:t>В.Р. - ведущего</w:t>
      </w:r>
    </w:p>
    <w:p>
      <w:pPr>
        <w:pStyle w:val="Style20"/>
        <w:widowControl w:val="0"/>
        <w:keepNext w:val="0"/>
        <w:keepLines w:val="0"/>
        <w:shd w:val="clear" w:color="auto" w:fill="auto"/>
        <w:bidi w:val="0"/>
        <w:jc w:val="left"/>
        <w:spacing w:before="0" w:after="0" w:line="317" w:lineRule="exact"/>
        <w:ind w:left="5940" w:right="0" w:firstLine="0"/>
      </w:pPr>
      <w:r>
        <w:rPr>
          <w:lang w:val="ru-RU" w:eastAsia="ru-RU" w:bidi="ru-RU"/>
          <w:sz w:val="24"/>
          <w:szCs w:val="24"/>
          <w:w w:val="100"/>
          <w:spacing w:val="0"/>
          <w:color w:val="000000"/>
          <w:position w:val="0"/>
        </w:rPr>
        <w:t>специалиста-эксперта,</w:t>
      </w:r>
    </w:p>
    <w:p>
      <w:pPr>
        <w:pStyle w:val="Style20"/>
        <w:widowControl w:val="0"/>
        <w:keepNext w:val="0"/>
        <w:keepLines w:val="0"/>
        <w:shd w:val="clear" w:color="auto" w:fill="auto"/>
        <w:bidi w:val="0"/>
        <w:jc w:val="left"/>
        <w:spacing w:before="0" w:after="0"/>
        <w:ind w:left="5940" w:right="320" w:firstLine="0"/>
      </w:pPr>
      <w:r>
        <w:rPr>
          <w:lang w:val="ru-RU" w:eastAsia="ru-RU" w:bidi="ru-RU"/>
          <w:sz w:val="24"/>
          <w:szCs w:val="24"/>
          <w:w w:val="100"/>
          <w:spacing w:val="0"/>
          <w:color w:val="000000"/>
          <w:position w:val="0"/>
        </w:rPr>
        <w:t>Закировой А.Р. - специалиста- эксперта,</w:t>
      </w:r>
    </w:p>
    <w:p>
      <w:pPr>
        <w:pStyle w:val="Style20"/>
        <w:widowControl w:val="0"/>
        <w:keepNext w:val="0"/>
        <w:keepLines w:val="0"/>
        <w:shd w:val="clear" w:color="auto" w:fill="auto"/>
        <w:bidi w:val="0"/>
        <w:jc w:val="both"/>
        <w:spacing w:before="0" w:after="418"/>
        <w:ind w:left="20" w:right="320" w:firstLine="660"/>
      </w:pPr>
      <w:r>
        <w:rPr>
          <w:lang w:val="ru-RU" w:eastAsia="ru-RU" w:bidi="ru-RU"/>
          <w:sz w:val="24"/>
          <w:szCs w:val="24"/>
          <w:w w:val="100"/>
          <w:spacing w:val="0"/>
          <w:color w:val="000000"/>
          <w:position w:val="0"/>
        </w:rPr>
        <w:t xml:space="preserve">в присутствии представителей заказчика ФКУ «Федеральное управление автомобильных дорог Волго-Вятского региона федерального дорожного агентства» - Маркова Е.В. (доверенность от 23.05.2017г. №69), Насибуллина И.Р. (доверенность от 02.05.2017г. №53), Губайдуллиной Я.С. (доверенность от 02.12.2016г. №144), </w:t>
      </w:r>
      <w:r>
        <w:rPr>
          <w:rStyle w:val="CharStyle24"/>
        </w:rPr>
        <w:t xml:space="preserve">В </w:t>
      </w:r>
      <w:r>
        <w:rPr>
          <w:lang w:val="ru-RU" w:eastAsia="ru-RU" w:bidi="ru-RU"/>
          <w:sz w:val="24"/>
          <w:szCs w:val="24"/>
          <w:w w:val="100"/>
          <w:spacing w:val="0"/>
          <w:color w:val="000000"/>
          <w:position w:val="0"/>
        </w:rPr>
        <w:t>отсутствии представителей заявителей ООО «Новая Линия», ООО «Перспектива», о</w:t>
      </w:r>
    </w:p>
    <w:p>
      <w:pPr>
        <w:pStyle w:val="Style20"/>
        <w:widowControl w:val="0"/>
        <w:keepNext w:val="0"/>
        <w:keepLines w:val="0"/>
        <w:shd w:val="clear" w:color="auto" w:fill="auto"/>
        <w:bidi w:val="0"/>
        <w:jc w:val="right"/>
        <w:spacing w:before="0" w:after="0" w:line="240" w:lineRule="exact"/>
        <w:ind w:left="0" w:right="200" w:firstLine="0"/>
      </w:pPr>
      <w:r>
        <w:rPr>
          <w:lang w:val="ru-RU" w:eastAsia="ru-RU" w:bidi="ru-RU"/>
          <w:sz w:val="24"/>
          <w:szCs w:val="24"/>
          <w:w w:val="100"/>
          <w:spacing w:val="0"/>
          <w:color w:val="000000"/>
          <w:position w:val="0"/>
        </w:rPr>
        <w:t>137055</w:t>
      </w:r>
      <w:r>
        <w:br w:type="page"/>
      </w:r>
    </w:p>
    <w:p>
      <w:pPr>
        <w:pStyle w:val="Style20"/>
        <w:widowControl w:val="0"/>
        <w:keepNext w:val="0"/>
        <w:keepLines w:val="0"/>
        <w:shd w:val="clear" w:color="auto" w:fill="auto"/>
        <w:bidi w:val="0"/>
        <w:jc w:val="both"/>
        <w:spacing w:before="0" w:after="365" w:line="322" w:lineRule="exact"/>
        <w:ind w:left="40" w:right="40" w:firstLine="0"/>
      </w:pPr>
      <w:r>
        <w:rPr>
          <w:lang w:val="ru-RU" w:eastAsia="ru-RU" w:bidi="ru-RU"/>
          <w:sz w:val="24"/>
          <w:szCs w:val="24"/>
          <w:w w:val="100"/>
          <w:spacing w:val="0"/>
          <w:color w:val="000000"/>
          <w:position w:val="0"/>
        </w:rPr>
        <w:t>времени и месте рассмотрения жалоб уведомленных надлежащим образом, рассмотрев жалобы ООО «Новая Линия», ООО «Перспектива» (вх. 20459/ж, 20431/ж от 25.10.2017г.) на действия заказчика ФКУ «Федеральное управление автомобильных дорог Волго-Вятского региона федерального дорожного агентства» при проведении электронного аукциона №0311100007217000183 на предмет: «Ремонт автомобильной дороги Р-239 Казань - Оренбург - Акбулак - граница с Республикой Казахстан, подъезд к аэропорту Казань на участке км 0+000 - км 4+715, км 5+042 - км 6+400, Республика Татарстан»,</w:t>
      </w:r>
    </w:p>
    <w:p>
      <w:pPr>
        <w:pStyle w:val="Style20"/>
        <w:widowControl w:val="0"/>
        <w:keepNext w:val="0"/>
        <w:keepLines w:val="0"/>
        <w:shd w:val="clear" w:color="auto" w:fill="auto"/>
        <w:bidi w:val="0"/>
        <w:jc w:val="left"/>
        <w:spacing w:before="0" w:after="246" w:line="240" w:lineRule="exact"/>
        <w:ind w:left="4160" w:right="0" w:firstLine="0"/>
      </w:pPr>
      <w:r>
        <w:rPr>
          <w:rStyle w:val="CharStyle23"/>
        </w:rPr>
        <w:t>УСТАНОВИЛА: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Извещение о проведении электронного аукциона: №0311100007217000183 размещены на официальном сайте Российской Федерации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09.10.2017.</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Заказчик ФКУ «Федеральное управление автомобильных дорог Волго- Вятского региона федерального дорожного агентства».</w:t>
      </w:r>
    </w:p>
    <w:p>
      <w:pPr>
        <w:pStyle w:val="Style20"/>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Начальная (максимальная) цена контракта - 124 899 630, 00 руб.</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Суть жалоб, по мнению заявителей, в действиях заказчика при проведении электронного аукциона содержатся нарушения норм действующего законодательства.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Заслушав представителей заказчика, а также изучив представленные материалы Комиссией Татарстанского УФАС России установлено следующее.</w:t>
      </w:r>
    </w:p>
    <w:p>
      <w:pPr>
        <w:pStyle w:val="Style20"/>
        <w:widowControl w:val="0"/>
        <w:keepNext w:val="0"/>
        <w:keepLines w:val="0"/>
        <w:shd w:val="clear" w:color="auto" w:fill="auto"/>
        <w:bidi w:val="0"/>
        <w:jc w:val="both"/>
        <w:spacing w:before="0" w:after="0" w:line="317" w:lineRule="exact"/>
        <w:ind w:left="40" w:right="0" w:firstLine="700"/>
      </w:pPr>
      <w:r>
        <w:rPr>
          <w:rStyle w:val="CharStyle22"/>
        </w:rPr>
        <w:t>По жалобе ООО «Новая Линия».</w:t>
      </w:r>
    </w:p>
    <w:p>
      <w:pPr>
        <w:pStyle w:val="Style20"/>
        <w:numPr>
          <w:ilvl w:val="0"/>
          <w:numId w:val="1"/>
        </w:numPr>
        <w:tabs>
          <w:tab w:leader="none" w:pos="1067" w:val="left"/>
        </w:tabs>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Относительно довода, что заказчик устанавливает излишние требования к техническим характеристикам товара.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Заявитель в жалобе указывает, что заказчиком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приводят к ограничению количества участников закупки, ограничивают возможность участников закупки предоставить надлежащее предложение в составе заявок на участие в аукционе.</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Включение заказчиком в Техническое задание требований к товарам, не являющихся объектом закупки, к результату работ, к производителю товара, к составным частям, к показателям, значения которых становятся известными при испытании определенной партии товара после его производства, является</w:t>
      </w:r>
    </w:p>
    <w:p>
      <w:pPr>
        <w:pStyle w:val="Style20"/>
        <w:widowControl w:val="0"/>
        <w:keepNext w:val="0"/>
        <w:keepLines w:val="0"/>
        <w:shd w:val="clear" w:color="auto" w:fill="auto"/>
        <w:bidi w:val="0"/>
        <w:jc w:val="left"/>
        <w:spacing w:before="0" w:after="0" w:line="317" w:lineRule="exact"/>
        <w:ind w:left="40" w:right="0" w:firstLine="0"/>
      </w:pPr>
      <w:r>
        <w:rPr>
          <w:lang w:val="ru-RU" w:eastAsia="ru-RU" w:bidi="ru-RU"/>
          <w:sz w:val="24"/>
          <w:szCs w:val="24"/>
          <w:w w:val="100"/>
          <w:spacing w:val="0"/>
          <w:color w:val="000000"/>
          <w:position w:val="0"/>
        </w:rPr>
        <w:t>излишним.</w:t>
      </w:r>
    </w:p>
    <w:p>
      <w:pPr>
        <w:pStyle w:val="Style20"/>
        <w:widowControl w:val="0"/>
        <w:keepNext w:val="0"/>
        <w:keepLines w:val="0"/>
        <w:shd w:val="clear" w:color="auto" w:fill="auto"/>
        <w:bidi w:val="0"/>
        <w:jc w:val="both"/>
        <w:spacing w:before="0" w:after="0" w:line="317" w:lineRule="exact"/>
        <w:ind w:left="40" w:right="40" w:firstLine="680"/>
      </w:pPr>
      <w:r>
        <w:rPr>
          <w:lang w:val="ru-RU" w:eastAsia="ru-RU" w:bidi="ru-RU"/>
          <w:sz w:val="24"/>
          <w:szCs w:val="24"/>
          <w:w w:val="100"/>
          <w:spacing w:val="0"/>
          <w:color w:val="000000"/>
          <w:position w:val="0"/>
        </w:rPr>
        <w:t xml:space="preserve">Кроме того, Согласно пункту 3 Письма ФАС России от 1 июля 2016 года </w:t>
      </w:r>
      <w:r>
        <w:rPr>
          <w:lang w:val="en-US" w:eastAsia="en-US" w:bidi="en-US"/>
          <w:sz w:val="24"/>
          <w:szCs w:val="24"/>
          <w:w w:val="100"/>
          <w:spacing w:val="0"/>
          <w:color w:val="000000"/>
          <w:position w:val="0"/>
        </w:rPr>
        <w:t xml:space="preserve">NHA/44536/16 </w:t>
      </w:r>
      <w:r>
        <w:rPr>
          <w:lang w:val="ru-RU" w:eastAsia="ru-RU" w:bidi="ru-RU"/>
          <w:sz w:val="24"/>
          <w:szCs w:val="24"/>
          <w:w w:val="100"/>
          <w:spacing w:val="0"/>
          <w:color w:val="000000"/>
          <w:position w:val="0"/>
        </w:rPr>
        <w:t>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20"/>
        <w:widowControl w:val="0"/>
        <w:keepNext w:val="0"/>
        <w:keepLines w:val="0"/>
        <w:shd w:val="clear" w:color="auto" w:fill="auto"/>
        <w:bidi w:val="0"/>
        <w:jc w:val="both"/>
        <w:spacing w:before="0" w:after="0" w:line="317" w:lineRule="exact"/>
        <w:ind w:left="40" w:right="40" w:firstLine="680"/>
      </w:pPr>
      <w:r>
        <w:rPr>
          <w:lang w:val="ru-RU" w:eastAsia="ru-RU" w:bidi="ru-RU"/>
          <w:sz w:val="24"/>
          <w:szCs w:val="24"/>
          <w:w w:val="100"/>
          <w:spacing w:val="0"/>
          <w:color w:val="000000"/>
          <w:position w:val="0"/>
        </w:rPr>
        <w:t>Пунктом 11.2.2 документации заказчика установлены требования к содержанию первой части заявки на участие в аукционе в электронной форме:</w:t>
      </w:r>
    </w:p>
    <w:p>
      <w:pPr>
        <w:pStyle w:val="Style20"/>
        <w:widowControl w:val="0"/>
        <w:keepNext w:val="0"/>
        <w:keepLines w:val="0"/>
        <w:shd w:val="clear" w:color="auto" w:fill="auto"/>
        <w:bidi w:val="0"/>
        <w:jc w:val="both"/>
        <w:spacing w:before="0" w:after="0" w:line="317" w:lineRule="exact"/>
        <w:ind w:left="40" w:right="40" w:firstLine="680"/>
      </w:pPr>
      <w:r>
        <w:rPr>
          <w:lang w:val="ru-RU" w:eastAsia="ru-RU" w:bidi="ru-RU"/>
          <w:sz w:val="24"/>
          <w:szCs w:val="24"/>
          <w:w w:val="100"/>
          <w:spacing w:val="0"/>
          <w:color w:val="000000"/>
          <w:position w:val="0"/>
        </w:rPr>
        <w:t>а) согласие, участника аукциона на выполнение работы или оказание услуги на условиях, предусмотренных документацией об аукционе в электронной форме, в том числе согласие на использование товара, в отношении которого в документации об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участника аукциона на выполнение работы или оказание услуги на условиях, предусмотренных документацией об аукционе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документации об аукционе, конкретные показатели товара, соответствующие значениям эквивалентности, установленным документацией об аукционе, по товарам, по которым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0"/>
        <w:widowControl w:val="0"/>
        <w:keepNext w:val="0"/>
        <w:keepLines w:val="0"/>
        <w:shd w:val="clear" w:color="auto" w:fill="auto"/>
        <w:bidi w:val="0"/>
        <w:jc w:val="both"/>
        <w:spacing w:before="0" w:after="0" w:line="317" w:lineRule="exact"/>
        <w:ind w:left="40" w:right="40" w:firstLine="680"/>
      </w:pPr>
      <w:r>
        <w:rPr>
          <w:lang w:val="ru-RU" w:eastAsia="ru-RU" w:bidi="ru-RU"/>
          <w:sz w:val="24"/>
          <w:szCs w:val="24"/>
          <w:w w:val="100"/>
          <w:spacing w:val="0"/>
          <w:color w:val="000000"/>
          <w:position w:val="0"/>
        </w:rPr>
        <w:t xml:space="preserve">б) согласие, участника аукциона на выполнение работы или оказание услуги на условиях, предусмотренных документацией об аукционе в электронной форме,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по товарам, по которым отсутствует в документации об аукционе </w:t>
      </w:r>
      <w:r>
        <w:rPr>
          <w:rStyle w:val="CharStyle25"/>
        </w:rPr>
        <w:t xml:space="preserve">указание на товарный знак, знак </w:t>
      </w:r>
      <w:r>
        <w:rPr>
          <w:lang w:val="ru-RU" w:eastAsia="ru-RU" w:bidi="ru-RU"/>
          <w:sz w:val="24"/>
          <w:szCs w:val="24"/>
          <w:w w:val="100"/>
          <w:spacing w:val="0"/>
          <w:color w:val="000000"/>
          <w:position w:val="0"/>
        </w:rPr>
        <w:t>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0"/>
        <w:widowControl w:val="0"/>
        <w:keepNext w:val="0"/>
        <w:keepLines w:val="0"/>
        <w:shd w:val="clear" w:color="auto" w:fill="auto"/>
        <w:bidi w:val="0"/>
        <w:jc w:val="both"/>
        <w:spacing w:before="0" w:after="0" w:line="317" w:lineRule="exact"/>
        <w:ind w:left="40" w:right="40" w:firstLine="700"/>
      </w:pPr>
      <w:r>
        <w:rPr>
          <w:rStyle w:val="CharStyle26"/>
        </w:rPr>
        <w:t xml:space="preserve">Конкретные показатели используемого товара </w:t>
      </w:r>
      <w:r>
        <w:rPr>
          <w:lang w:val="ru-RU" w:eastAsia="ru-RU" w:bidi="ru-RU"/>
          <w:sz w:val="24"/>
          <w:szCs w:val="24"/>
          <w:w w:val="100"/>
          <w:spacing w:val="0"/>
          <w:color w:val="000000"/>
          <w:position w:val="0"/>
        </w:rPr>
        <w:t xml:space="preserve">(материалов) могут быть представлены по форме, установленной Приложением (Сведения и конкретные </w:t>
      </w:r>
      <w:r>
        <w:rPr>
          <w:rStyle w:val="CharStyle25"/>
        </w:rPr>
        <w:t xml:space="preserve">показатели товаров (материалов), используемых при </w:t>
      </w:r>
      <w:r>
        <w:rPr>
          <w:lang w:val="ru-RU" w:eastAsia="ru-RU" w:bidi="ru-RU"/>
          <w:sz w:val="24"/>
          <w:szCs w:val="24"/>
          <w:w w:val="100"/>
          <w:spacing w:val="0"/>
          <w:color w:val="000000"/>
          <w:position w:val="0"/>
        </w:rPr>
        <w:t>выполнении работ) к проекту государственного контракта.</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В Приложении №5 к документации об аукционе установлены требования к показателям товаров, используемых при выполнении работ, так например, требования к полимерно-битумному вяжущему в составе смеси установлены следующим образом:</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«Максимальная глубина проникания иглы (определяется по ГОСТ 11501-78 Битумы нефтяные. Метод определения глубины проникания иглы (с Изменениями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 2, 3, 4)) должна быть не более 8 мм при температуре 25° С. Минимальная глубина проникания иглы (определяется по ГОСТ 11501-78 Битумы нефтяные. Метод определения глубины проникания иглы (с Изменениями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 2, 3, 4)) при температуре 0°С должна быть не менее 3,2 мм.</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Минимальная температура размягчения по кольцу и шару (определяется по ГОСТ 11506-73 Битумы нефтяные. Метод определения температуры размягчения по кольцу и шару (с Изменениями </w:t>
      </w:r>
      <w:r>
        <w:rPr>
          <w:rStyle w:val="CharStyle27"/>
        </w:rPr>
        <w:t>N1,2,</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3)) должна быть не менее 54 </w:t>
      </w:r>
      <w:r>
        <w:rPr>
          <w:lang w:val="ru-RU" w:eastAsia="ru-RU" w:bidi="ru-RU"/>
          <w:vertAlign w:val="superscript"/>
          <w:sz w:val="24"/>
          <w:szCs w:val="24"/>
          <w:w w:val="100"/>
          <w:spacing w:val="0"/>
          <w:color w:val="000000"/>
          <w:position w:val="0"/>
        </w:rPr>
        <w:t>0</w:t>
      </w:r>
      <w:r>
        <w:rPr>
          <w:lang w:val="ru-RU" w:eastAsia="ru-RU" w:bidi="ru-RU"/>
          <w:sz w:val="24"/>
          <w:szCs w:val="24"/>
          <w:w w:val="100"/>
          <w:spacing w:val="0"/>
          <w:color w:val="000000"/>
          <w:position w:val="0"/>
        </w:rPr>
        <w:t xml:space="preserve"> С.</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Минимальная растяжимость при 25°С (определяется по ГОСТ 11505-75 Битумы нефтяные. Метод определения растяжимости (с Изменениями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 2)) должна быть не менее 25 см. Минимальная растяжимость при 0°С (определяется по ГОСТ 11505-75 Битумы нефтяные. Метод определения растяжимости (с Изменениями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 должна быть не менее 11 см.</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Максимальное изменение температуры размягчения после прогрева (определяется по ГОСТ 18180-72 (СТ СЭВ 4543-84) Битумы нефтяные. Метод определения изменения массы после прогрева (с Изменениями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 2, 3) и по ГОСТ 11506-73 Битумы нефтяные. Метод определения температуры размягчения по кольцу и шару (с Изменениями </w:t>
      </w:r>
      <w:r>
        <w:rPr>
          <w:rStyle w:val="CharStyle27"/>
        </w:rPr>
        <w:t>N1,2,</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 должно быть не менее 5 °С».</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для того, чтобы подать заявку, потенциальным участникам требуются испытания партии для определения данных характеристик на каждую партию.</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Аналогичные требования к химическому составу и (или) компонентов товара, и (или) показатели, значения которых становятся известными при испытании определенной партии товара после его производства, установлены по ряду иных позиций Технического задания.</w:t>
      </w:r>
    </w:p>
    <w:p>
      <w:pPr>
        <w:pStyle w:val="Style20"/>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Таким образом, действия Заказчика, установившего требования к описанию участниками закупок в составе заявок химического состава и (или) компонентов товара, показателей, значения которых становятся известными при испытании определенной партии товара после его производства, нарушают требования пункта 1 части 1 статьи 64 с отсылочной нормой на пункт 1 части 1 статьи 33 Закона о контрактной системе.</w:t>
      </w:r>
    </w:p>
    <w:p>
      <w:pPr>
        <w:pStyle w:val="Style20"/>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spacing w:val="0"/>
          <w:color w:val="000000"/>
          <w:position w:val="0"/>
        </w:rPr>
        <w:t>Следовательно, довод заявителя признан обоснованным.</w:t>
      </w:r>
    </w:p>
    <w:p>
      <w:pPr>
        <w:pStyle w:val="Style20"/>
        <w:numPr>
          <w:ilvl w:val="0"/>
          <w:numId w:val="1"/>
        </w:numPr>
        <w:tabs>
          <w:tab w:leader="none" w:pos="1197" w:val="left"/>
        </w:tabs>
        <w:widowControl w:val="0"/>
        <w:keepNext w:val="0"/>
        <w:keepLines w:val="0"/>
        <w:shd w:val="clear" w:color="auto" w:fill="auto"/>
        <w:bidi w:val="0"/>
        <w:jc w:val="both"/>
        <w:spacing w:before="0" w:after="0" w:line="326" w:lineRule="exact"/>
        <w:ind w:left="40" w:right="40" w:firstLine="700"/>
      </w:pPr>
      <w:r>
        <w:rPr>
          <w:lang w:val="ru-RU" w:eastAsia="ru-RU" w:bidi="ru-RU"/>
          <w:sz w:val="24"/>
          <w:szCs w:val="24"/>
          <w:w w:val="100"/>
          <w:spacing w:val="0"/>
          <w:color w:val="000000"/>
          <w:position w:val="0"/>
        </w:rPr>
        <w:t>Относительно довода, что заказчиком не установлены документы, предъявляемые участниками во второй части заявок.</w:t>
      </w:r>
    </w:p>
    <w:p>
      <w:pPr>
        <w:pStyle w:val="Style20"/>
        <w:widowControl w:val="0"/>
        <w:keepNext w:val="0"/>
        <w:keepLines w:val="0"/>
        <w:shd w:val="clear" w:color="auto" w:fill="auto"/>
        <w:bidi w:val="0"/>
        <w:jc w:val="both"/>
        <w:spacing w:before="0" w:after="0" w:line="326" w:lineRule="exact"/>
        <w:ind w:left="40" w:right="0" w:firstLine="700"/>
      </w:pPr>
      <w:r>
        <w:rPr>
          <w:lang w:val="ru-RU" w:eastAsia="ru-RU" w:bidi="ru-RU"/>
          <w:sz w:val="24"/>
          <w:szCs w:val="24"/>
          <w:w w:val="100"/>
          <w:spacing w:val="0"/>
          <w:color w:val="000000"/>
          <w:position w:val="0"/>
        </w:rPr>
        <w:t>В пункте 11.2.3 документации заказчика установлено следующее:</w:t>
      </w:r>
    </w:p>
    <w:p>
      <w:pPr>
        <w:pStyle w:val="Style20"/>
        <w:numPr>
          <w:ilvl w:val="0"/>
          <w:numId w:val="3"/>
        </w:numPr>
        <w:tabs>
          <w:tab w:leader="none" w:pos="1677" w:val="left"/>
        </w:tabs>
        <w:widowControl w:val="0"/>
        <w:keepNext w:val="0"/>
        <w:keepLines w:val="0"/>
        <w:shd w:val="clear" w:color="auto" w:fill="auto"/>
        <w:bidi w:val="0"/>
        <w:jc w:val="both"/>
        <w:spacing w:before="0" w:after="0" w:line="341" w:lineRule="exact"/>
        <w:ind w:left="40" w:right="40" w:firstLine="700"/>
      </w:pPr>
      <w:r>
        <w:rPr>
          <w:lang w:val="ru-RU" w:eastAsia="ru-RU" w:bidi="ru-RU"/>
          <w:sz w:val="24"/>
          <w:szCs w:val="24"/>
          <w:w w:val="100"/>
          <w:spacing w:val="0"/>
          <w:color w:val="000000"/>
          <w:position w:val="0"/>
        </w:rPr>
        <w:t>2.3. Вторая часть заявки на участие в электронном аукционе должна содержать следующие документы и информацию:</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документы, указанные в Информационной карте электронного аукциона, подтверждающие соответствие участника такого аукциона требованиям, установленным в соответствии с пунктом 1 части 1 и частью 2 статьи 31 Закона, или копии этих документов, а также декларация о соответствии участника электронного аукциона требованиям, установленным пунктами 3 - 5, 7, 7.1, 9 части 1 статьи 31 Закона;</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в Информационной карте электронного аукциона;</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документы, подтверждающие право участника такого аукциона на получение преимущества в соответствии со статьями 28, 29 Закона, или копии этих документов, в случае, если предоставление таких преимуществ предусмотрено в Информационной карте электронного аукциона.</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документы, подтверждающие соответствие участника электронного аукциона и (или) предлагаемых им товара условиям, запретам и ограничениям, установленным в Информационной карте электронного аукциона в соответствии со статьей 14 Закона, или копии этих документов.</w:t>
      </w:r>
    </w:p>
    <w:p>
      <w:pPr>
        <w:pStyle w:val="Style20"/>
        <w:numPr>
          <w:ilvl w:val="0"/>
          <w:numId w:val="5"/>
        </w:numPr>
        <w:widowControl w:val="0"/>
        <w:keepNext w:val="0"/>
        <w:keepLines w:val="0"/>
        <w:shd w:val="clear" w:color="auto" w:fill="auto"/>
        <w:bidi w:val="0"/>
        <w:jc w:val="both"/>
        <w:spacing w:before="0" w:after="0" w:line="317" w:lineRule="exact"/>
        <w:ind w:left="40" w:right="40" w:firstLine="700"/>
      </w:pPr>
      <w:r>
        <w:rPr>
          <w:lang w:val="ru-RU" w:eastAsia="ru-RU" w:bidi="ru-RU"/>
          <w:sz w:val="24"/>
          <w:szCs w:val="24"/>
          <w:w w:val="100"/>
          <w:spacing w:val="0"/>
          <w:color w:val="000000"/>
          <w:position w:val="0"/>
        </w:rPr>
        <w:t xml:space="preserve"> декларация о принадлежности участника электронного аукциона к субъектам малого предпринимательства или социально ориентированным </w:t>
      </w:r>
      <w:r>
        <w:rPr>
          <w:rStyle w:val="CharStyle25"/>
        </w:rPr>
        <w:t xml:space="preserve">некоммерческим организациям в случае, если </w:t>
      </w:r>
      <w:r>
        <w:rPr>
          <w:lang w:val="ru-RU" w:eastAsia="ru-RU" w:bidi="ru-RU"/>
          <w:sz w:val="24"/>
          <w:szCs w:val="24"/>
          <w:w w:val="100"/>
          <w:spacing w:val="0"/>
          <w:color w:val="000000"/>
          <w:position w:val="0"/>
        </w:rPr>
        <w:t>установлены ограничения, предусмотренные разделом 9 документации об аукционе.</w:t>
      </w:r>
    </w:p>
    <w:p>
      <w:pPr>
        <w:pStyle w:val="Style20"/>
        <w:widowControl w:val="0"/>
        <w:keepNext w:val="0"/>
        <w:keepLines w:val="0"/>
        <w:shd w:val="clear" w:color="auto" w:fill="auto"/>
        <w:bidi w:val="0"/>
        <w:jc w:val="both"/>
        <w:spacing w:before="0" w:after="0"/>
        <w:ind w:left="60" w:right="0" w:firstLine="680"/>
      </w:pPr>
      <w:r>
        <w:rPr>
          <w:lang w:val="ru-RU" w:eastAsia="ru-RU" w:bidi="ru-RU"/>
          <w:sz w:val="24"/>
          <w:szCs w:val="24"/>
          <w:w w:val="100"/>
          <w:spacing w:val="0"/>
          <w:color w:val="000000"/>
          <w:position w:val="0"/>
        </w:rPr>
        <w:t>Таким образом, довод заявителя признан необоснованным.</w:t>
      </w:r>
    </w:p>
    <w:p>
      <w:pPr>
        <w:pStyle w:val="Style20"/>
        <w:widowControl w:val="0"/>
        <w:keepNext w:val="0"/>
        <w:keepLines w:val="0"/>
        <w:shd w:val="clear" w:color="auto" w:fill="auto"/>
        <w:bidi w:val="0"/>
        <w:jc w:val="both"/>
        <w:spacing w:before="0" w:after="0"/>
        <w:ind w:left="60" w:right="0" w:firstLine="680"/>
      </w:pPr>
      <w:r>
        <w:rPr>
          <w:rStyle w:val="CharStyle22"/>
        </w:rPr>
        <w:t>По жалобе ООО «Перспектива».</w:t>
      </w:r>
    </w:p>
    <w:p>
      <w:pPr>
        <w:pStyle w:val="Style20"/>
        <w:widowControl w:val="0"/>
        <w:keepNext w:val="0"/>
        <w:keepLines w:val="0"/>
        <w:shd w:val="clear" w:color="auto" w:fill="auto"/>
        <w:bidi w:val="0"/>
        <w:jc w:val="both"/>
        <w:spacing w:before="0" w:after="0" w:line="322" w:lineRule="exact"/>
        <w:ind w:left="60" w:right="40" w:firstLine="680"/>
      </w:pPr>
      <w:r>
        <w:rPr>
          <w:lang w:val="ru-RU" w:eastAsia="ru-RU" w:bidi="ru-RU"/>
          <w:sz w:val="24"/>
          <w:szCs w:val="24"/>
          <w:w w:val="100"/>
          <w:spacing w:val="0"/>
          <w:color w:val="000000"/>
          <w:position w:val="0"/>
        </w:rPr>
        <w:t>Заявитель в жалобе указывает, что заказчиком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 приводят к ограничению количества участников закупки, ограничивают возможность участников закупки предоставить надлежащее предложение в составе заявок на участие в аукционе.</w:t>
      </w:r>
    </w:p>
    <w:p>
      <w:pPr>
        <w:pStyle w:val="Style20"/>
        <w:widowControl w:val="0"/>
        <w:keepNext w:val="0"/>
        <w:keepLines w:val="0"/>
        <w:shd w:val="clear" w:color="auto" w:fill="auto"/>
        <w:bidi w:val="0"/>
        <w:jc w:val="both"/>
        <w:spacing w:before="0" w:after="0" w:line="322" w:lineRule="exact"/>
        <w:ind w:left="60" w:right="40" w:firstLine="680"/>
      </w:pPr>
      <w:r>
        <w:rPr>
          <w:lang w:val="ru-RU" w:eastAsia="ru-RU" w:bidi="ru-RU"/>
          <w:sz w:val="24"/>
          <w:szCs w:val="24"/>
          <w:w w:val="100"/>
          <w:spacing w:val="0"/>
          <w:color w:val="000000"/>
          <w:position w:val="0"/>
        </w:rPr>
        <w:t>Данный довод жалобы Комиссией рассмотрен при рассмотрении жалобы ООО «Новая Линия», заказчик признан нарушившим требования пункта 1 части 1 статьи 64 с отсылочной нормой на пункт 1 части 1 статьи ЗЗЗакона о контрактной системе.</w:t>
      </w:r>
    </w:p>
    <w:p>
      <w:pPr>
        <w:pStyle w:val="Style20"/>
        <w:widowControl w:val="0"/>
        <w:keepNext w:val="0"/>
        <w:keepLines w:val="0"/>
        <w:shd w:val="clear" w:color="auto" w:fill="auto"/>
        <w:bidi w:val="0"/>
        <w:jc w:val="both"/>
        <w:spacing w:before="0" w:after="0" w:line="322" w:lineRule="exact"/>
        <w:ind w:left="60" w:right="40" w:firstLine="680"/>
      </w:pPr>
      <w:r>
        <w:rPr>
          <w:lang w:val="ru-RU" w:eastAsia="ru-RU" w:bidi="ru-RU"/>
          <w:sz w:val="24"/>
          <w:szCs w:val="24"/>
          <w:w w:val="100"/>
          <w:spacing w:val="0"/>
          <w:color w:val="000000"/>
          <w:position w:val="0"/>
        </w:rPr>
        <w:t xml:space="preserve">На основании вышеизложенного, руководствуясь пунктом 2 части 22 статьи 99, частью 8 статьи 106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28"/>
        <w:widowControl w:val="0"/>
        <w:keepNext/>
        <w:keepLines/>
        <w:shd w:val="clear" w:color="auto" w:fill="auto"/>
        <w:bidi w:val="0"/>
        <w:jc w:val="left"/>
        <w:spacing w:before="0" w:after="244"/>
        <w:ind w:left="4680" w:right="0" w:firstLine="0"/>
      </w:pPr>
      <w:bookmarkStart w:id="1" w:name="bookmark1"/>
      <w:r>
        <w:rPr>
          <w:lang w:val="ru-RU" w:eastAsia="ru-RU" w:bidi="ru-RU"/>
          <w:w w:val="100"/>
          <w:color w:val="000000"/>
          <w:position w:val="0"/>
        </w:rPr>
        <w:t>РЕШИЛА:</w:t>
      </w:r>
      <w:bookmarkEnd w:id="1"/>
    </w:p>
    <w:p>
      <w:pPr>
        <w:pStyle w:val="Style20"/>
        <w:numPr>
          <w:ilvl w:val="0"/>
          <w:numId w:val="7"/>
        </w:numPr>
        <w:tabs>
          <w:tab w:leader="none" w:pos="3880" w:val="left"/>
          <w:tab w:leader="none" w:pos="8999" w:val="right"/>
          <w:tab w:leader="none" w:pos="10230" w:val="right"/>
        </w:tabs>
        <w:widowControl w:val="0"/>
        <w:keepNext w:val="0"/>
        <w:keepLines w:val="0"/>
        <w:shd w:val="clear" w:color="auto" w:fill="auto"/>
        <w:bidi w:val="0"/>
        <w:jc w:val="both"/>
        <w:spacing w:before="0" w:after="0" w:line="317" w:lineRule="exact"/>
        <w:ind w:left="60" w:right="40" w:firstLine="680"/>
      </w:pPr>
      <w:r>
        <w:rPr>
          <w:lang w:val="ru-RU" w:eastAsia="ru-RU" w:bidi="ru-RU"/>
          <w:sz w:val="24"/>
          <w:szCs w:val="24"/>
          <w:w w:val="100"/>
          <w:spacing w:val="0"/>
          <w:color w:val="000000"/>
          <w:position w:val="0"/>
        </w:rPr>
        <w:t xml:space="preserve"> Признать жалобу ООО «Новая Линия» на действия заказчика ФКУ «Федеральное управление</w:t>
        <w:tab/>
        <w:t>автомобильных дорог</w:t>
        <w:tab/>
        <w:t>Волго-Вятского</w:t>
        <w:tab/>
        <w:t>региона</w:t>
      </w:r>
    </w:p>
    <w:p>
      <w:pPr>
        <w:pStyle w:val="Style20"/>
        <w:widowControl w:val="0"/>
        <w:keepNext w:val="0"/>
        <w:keepLines w:val="0"/>
        <w:shd w:val="clear" w:color="auto" w:fill="auto"/>
        <w:bidi w:val="0"/>
        <w:jc w:val="both"/>
        <w:spacing w:before="0" w:after="0" w:line="317" w:lineRule="exact"/>
        <w:ind w:left="60" w:right="40" w:firstLine="0"/>
      </w:pPr>
      <w:r>
        <w:rPr>
          <w:lang w:val="ru-RU" w:eastAsia="ru-RU" w:bidi="ru-RU"/>
          <w:sz w:val="24"/>
          <w:szCs w:val="24"/>
          <w:w w:val="100"/>
          <w:spacing w:val="0"/>
          <w:color w:val="000000"/>
          <w:position w:val="0"/>
        </w:rPr>
        <w:t>федерального дорожного агентства» при проведении электронного аукциона на действия заказчика ФКУ «Федеральное управление автомобильных дорог Волго- Вятского региона федерального дорожного агентства» при проведении электронного аукциона №0311100007217000183 на предмет: «Ремонт автомобильной дороги Р-239 Казань - Оренбург - Акбулак - граница с Республикой Казахстан, подъезд к аэропорту Казань на участке км 0+000 - км 4+715, км 5+042 - км 6+400, Республика Татарстан», частично обоснованной.</w:t>
      </w:r>
    </w:p>
    <w:p>
      <w:pPr>
        <w:pStyle w:val="Style20"/>
        <w:numPr>
          <w:ilvl w:val="0"/>
          <w:numId w:val="7"/>
        </w:numPr>
        <w:tabs>
          <w:tab w:leader="none" w:pos="3880" w:val="left"/>
          <w:tab w:leader="none" w:pos="8999" w:val="right"/>
          <w:tab w:leader="none" w:pos="10230" w:val="right"/>
        </w:tabs>
        <w:widowControl w:val="0"/>
        <w:keepNext w:val="0"/>
        <w:keepLines w:val="0"/>
        <w:shd w:val="clear" w:color="auto" w:fill="auto"/>
        <w:bidi w:val="0"/>
        <w:jc w:val="both"/>
        <w:spacing w:before="0" w:after="0" w:line="317" w:lineRule="exact"/>
        <w:ind w:left="60" w:right="40" w:firstLine="680"/>
      </w:pPr>
      <w:r>
        <w:rPr>
          <w:lang w:val="ru-RU" w:eastAsia="ru-RU" w:bidi="ru-RU"/>
          <w:sz w:val="24"/>
          <w:szCs w:val="24"/>
          <w:w w:val="100"/>
          <w:spacing w:val="0"/>
          <w:color w:val="000000"/>
          <w:position w:val="0"/>
        </w:rPr>
        <w:t xml:space="preserve"> Признать жалобу ООО «Перспектива» на действия заказчика ФКУ «Федеральное управление</w:t>
        <w:tab/>
        <w:t>автомобильных дорог</w:t>
        <w:tab/>
        <w:t>Волго-Вятского</w:t>
        <w:tab/>
        <w:t>региона</w:t>
      </w:r>
    </w:p>
    <w:p>
      <w:pPr>
        <w:pStyle w:val="Style20"/>
        <w:widowControl w:val="0"/>
        <w:keepNext w:val="0"/>
        <w:keepLines w:val="0"/>
        <w:shd w:val="clear" w:color="auto" w:fill="auto"/>
        <w:bidi w:val="0"/>
        <w:jc w:val="both"/>
        <w:spacing w:before="0" w:after="0" w:line="317" w:lineRule="exact"/>
        <w:ind w:left="60" w:right="40" w:firstLine="0"/>
      </w:pPr>
      <w:r>
        <w:rPr>
          <w:lang w:val="ru-RU" w:eastAsia="ru-RU" w:bidi="ru-RU"/>
          <w:sz w:val="24"/>
          <w:szCs w:val="24"/>
          <w:w w:val="100"/>
          <w:spacing w:val="0"/>
          <w:color w:val="000000"/>
          <w:position w:val="0"/>
        </w:rPr>
        <w:t>федерального дорожного агентства» при проведении электронного аукциона на действия заказчика ФКУ «Федеральное управление автомобильных дорог Волго- Вятского региона федерального дорожного агентства» при проведении электронного аукциона №0311100007217000183 на предмет: «Ремонт автомобильной дороги Р-239 Казань - Оренбург - Акбулак - граница с Республикой Казахстан, подъезд к аэропорту Казань на участке км 0+000 - км 4+715, км 5+042 - км 6+400, Республика Татарстан», обоснованной.</w:t>
      </w:r>
    </w:p>
    <w:p>
      <w:pPr>
        <w:pStyle w:val="Style20"/>
        <w:numPr>
          <w:ilvl w:val="0"/>
          <w:numId w:val="7"/>
        </w:numPr>
        <w:tabs>
          <w:tab w:leader="none" w:pos="3880" w:val="left"/>
          <w:tab w:leader="none" w:pos="6914" w:val="right"/>
          <w:tab w:leader="none" w:pos="9094" w:val="left"/>
          <w:tab w:leader="none" w:pos="10230" w:val="right"/>
        </w:tabs>
        <w:widowControl w:val="0"/>
        <w:keepNext w:val="0"/>
        <w:keepLines w:val="0"/>
        <w:shd w:val="clear" w:color="auto" w:fill="auto"/>
        <w:bidi w:val="0"/>
        <w:jc w:val="both"/>
        <w:spacing w:before="0" w:after="0" w:line="317" w:lineRule="exact"/>
        <w:ind w:left="60" w:right="40" w:firstLine="680"/>
      </w:pPr>
      <w:r>
        <w:rPr>
          <w:lang w:val="ru-RU" w:eastAsia="ru-RU" w:bidi="ru-RU"/>
          <w:sz w:val="24"/>
          <w:szCs w:val="24"/>
          <w:w w:val="100"/>
          <w:spacing w:val="0"/>
          <w:color w:val="000000"/>
          <w:position w:val="0"/>
        </w:rPr>
        <w:t xml:space="preserve"> Признать заказчика ФКУ «Федеральное управление автомобильных дорог Волго-Вятского региона федерального дорожного агентства» нарушившим требования пункта 1 части 1</w:t>
        <w:tab/>
        <w:t>статьи 64 с отсылочной</w:t>
        <w:tab/>
        <w:t>нормой на пункт</w:t>
        <w:tab/>
        <w:t>1</w:t>
        <w:tab/>
        <w:t>части 1</w:t>
      </w:r>
    </w:p>
    <w:p>
      <w:pPr>
        <w:pStyle w:val="Style20"/>
        <w:tabs>
          <w:tab w:leader="none" w:pos="3880" w:val="left"/>
          <w:tab w:leader="none" w:pos="9128" w:val="left"/>
          <w:tab w:leader="none" w:pos="9055" w:val="left"/>
        </w:tabs>
        <w:widowControl w:val="0"/>
        <w:keepNext w:val="0"/>
        <w:keepLines w:val="0"/>
        <w:shd w:val="clear" w:color="auto" w:fill="auto"/>
        <w:bidi w:val="0"/>
        <w:jc w:val="both"/>
        <w:spacing w:before="0" w:after="0" w:line="317" w:lineRule="exact"/>
        <w:ind w:left="60" w:right="0" w:firstLine="0"/>
      </w:pPr>
      <w:r>
        <w:rPr>
          <w:lang w:val="ru-RU" w:eastAsia="ru-RU" w:bidi="ru-RU"/>
          <w:sz w:val="24"/>
          <w:szCs w:val="24"/>
          <w:w w:val="100"/>
          <w:spacing w:val="0"/>
          <w:color w:val="000000"/>
          <w:position w:val="0"/>
        </w:rPr>
        <w:t>статьи 33, части 6 статьи 67</w:t>
        <w:tab/>
        <w:t>Федерального закона от</w:t>
        <w:tab/>
        <w:t>05.04.2013 г. №</w:t>
        <w:tab/>
        <w:t>44-ФЗ «О</w:t>
      </w:r>
    </w:p>
    <w:p>
      <w:pPr>
        <w:pStyle w:val="Style20"/>
        <w:widowControl w:val="0"/>
        <w:keepNext w:val="0"/>
        <w:keepLines w:val="0"/>
        <w:shd w:val="clear" w:color="auto" w:fill="auto"/>
        <w:bidi w:val="0"/>
        <w:jc w:val="both"/>
        <w:spacing w:before="0" w:after="0" w:line="317" w:lineRule="exact"/>
        <w:ind w:left="60" w:right="40" w:firstLine="0"/>
      </w:pPr>
      <w:r>
        <w:rPr>
          <w:lang w:val="ru-RU" w:eastAsia="ru-RU" w:bidi="ru-RU"/>
          <w:sz w:val="24"/>
          <w:szCs w:val="24"/>
          <w:w w:val="100"/>
          <w:spacing w:val="0"/>
          <w:color w:val="000000"/>
          <w:position w:val="0"/>
        </w:rPr>
        <w:t>контрактной системе в сфере закупок товаров, работ, услуг для обеспечения государственных и муниципальных нужд».</w:t>
      </w:r>
    </w:p>
    <w:p>
      <w:pPr>
        <w:pStyle w:val="Style20"/>
        <w:numPr>
          <w:ilvl w:val="0"/>
          <w:numId w:val="7"/>
        </w:numPr>
        <w:widowControl w:val="0"/>
        <w:keepNext w:val="0"/>
        <w:keepLines w:val="0"/>
        <w:shd w:val="clear" w:color="auto" w:fill="auto"/>
        <w:bidi w:val="0"/>
        <w:jc w:val="both"/>
        <w:spacing w:before="0" w:after="0" w:line="317" w:lineRule="exact"/>
        <w:ind w:left="60" w:right="40" w:firstLine="680"/>
      </w:pPr>
      <w:r>
        <w:rPr>
          <w:lang w:val="ru-RU" w:eastAsia="ru-RU" w:bidi="ru-RU"/>
          <w:sz w:val="24"/>
          <w:szCs w:val="24"/>
          <w:w w:val="100"/>
          <w:spacing w:val="0"/>
          <w:color w:val="000000"/>
          <w:position w:val="0"/>
        </w:rPr>
        <w:t xml:space="preserve"> Выдать заказчику ФКУ «Федеральное управление автомобильных дорог Волго-Вятского региона федерального дорожного агентства», оператору электронной площадки ГУП «Агентство по государственному заказу, инвестиционной деятельности и межрегиональным связям Республики Татарстан», предписание об устранении нарушений законодательства в сфере закупок товаров, работ, услуг для обеспечения государственных и муниципальных нужд.</w:t>
      </w:r>
    </w:p>
    <w:p>
      <w:pPr>
        <w:pStyle w:val="Style20"/>
        <w:numPr>
          <w:ilvl w:val="0"/>
          <w:numId w:val="7"/>
        </w:numPr>
        <w:tabs>
          <w:tab w:leader="none" w:pos="1162" w:val="lef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0"/>
        <w:widowControl w:val="0"/>
        <w:keepNext w:val="0"/>
        <w:keepLines w:val="0"/>
        <w:shd w:val="clear" w:color="auto" w:fill="auto"/>
        <w:bidi w:val="0"/>
        <w:jc w:val="both"/>
        <w:spacing w:before="0" w:after="965" w:line="322" w:lineRule="exact"/>
        <w:ind w:left="20" w:right="20" w:firstLine="700"/>
      </w:pPr>
      <w:r>
        <w:rPr>
          <w:lang w:val="ru-RU" w:eastAsia="ru-RU" w:bidi="ru-RU"/>
          <w:sz w:val="24"/>
          <w:szCs w:val="24"/>
          <w:w w:val="100"/>
          <w:spacing w:val="0"/>
          <w:color w:val="000000"/>
          <w:position w:val="0"/>
        </w:rPr>
        <w:t>Решение Комиссии может быть обжаловано в судебном порядке в течение грех месяцев со дня его принятия.</w:t>
      </w:r>
    </w:p>
    <w:p>
      <w:pPr>
        <w:pStyle w:val="Style20"/>
        <w:widowControl w:val="0"/>
        <w:keepNext w:val="0"/>
        <w:keepLines w:val="0"/>
        <w:shd w:val="clear" w:color="auto" w:fill="auto"/>
        <w:bidi w:val="0"/>
        <w:jc w:val="both"/>
        <w:spacing w:before="0" w:after="672"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20"/>
        <w:widowControl w:val="0"/>
        <w:keepNext w:val="0"/>
        <w:keepLines w:val="0"/>
        <w:shd w:val="clear" w:color="auto" w:fill="auto"/>
        <w:bidi w:val="0"/>
        <w:jc w:val="both"/>
        <w:spacing w:before="0" w:after="7238" w:line="240" w:lineRule="exact"/>
        <w:ind w:left="20" w:right="0" w:firstLine="0"/>
      </w:pPr>
      <w:r>
        <w:rPr>
          <w:lang w:val="ru-RU" w:eastAsia="ru-RU" w:bidi="ru-RU"/>
          <w:sz w:val="24"/>
          <w:szCs w:val="24"/>
          <w:w w:val="100"/>
          <w:spacing w:val="0"/>
          <w:color w:val="000000"/>
          <w:position w:val="0"/>
        </w:rPr>
        <w:t>Члены Комиссии</w:t>
      </w:r>
    </w:p>
    <w:p>
      <w:pPr>
        <w:pStyle w:val="Style30"/>
        <w:widowControl w:val="0"/>
        <w:keepNext w:val="0"/>
        <w:keepLines w:val="0"/>
        <w:shd w:val="clear" w:color="auto" w:fill="auto"/>
        <w:bidi w:val="0"/>
        <w:jc w:val="left"/>
        <w:spacing w:before="0" w:after="0"/>
        <w:ind w:left="20" w:right="7280" w:firstLine="0"/>
      </w:pPr>
      <w:r>
        <w:rPr>
          <w:lang w:val="ru-RU" w:eastAsia="ru-RU" w:bidi="ru-RU"/>
          <w:w w:val="100"/>
          <w:spacing w:val="0"/>
          <w:color w:val="000000"/>
          <w:position w:val="0"/>
        </w:rPr>
        <w:t xml:space="preserve">Амирова Венера Ришатовна </w:t>
      </w:r>
      <w:r>
        <w:rPr>
          <w:rStyle w:val="CharStyle32"/>
        </w:rPr>
        <w:t>(</w:t>
      </w:r>
      <w:r>
        <w:rPr>
          <w:rStyle w:val="CharStyle33"/>
        </w:rPr>
        <w:t>843</w:t>
      </w:r>
      <w:r>
        <w:rPr>
          <w:rStyle w:val="CharStyle32"/>
        </w:rPr>
        <w:t>)</w:t>
      </w:r>
      <w:r>
        <w:rPr>
          <w:rStyle w:val="CharStyle33"/>
        </w:rPr>
        <w:t>238</w:t>
      </w:r>
      <w:r>
        <w:rPr>
          <w:rStyle w:val="CharStyle32"/>
        </w:rPr>
        <w:t>-</w:t>
      </w:r>
      <w:r>
        <w:rPr>
          <w:rStyle w:val="CharStyle33"/>
        </w:rPr>
        <w:t>24-86</w:t>
      </w:r>
    </w:p>
    <w:sectPr>
      <w:type w:val="continuous"/>
      <w:pgSz w:w="11906" w:h="16838"/>
      <w:pgMar w:top="889" w:left="733" w:right="690" w:bottom="6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 6,5 pt"/>
    <w:basedOn w:val="CharStyle7"/>
    <w:rPr>
      <w:lang w:val="ru-RU" w:eastAsia="ru-RU" w:bidi="ru-RU"/>
      <w:sz w:val="13"/>
      <w:szCs w:val="13"/>
      <w:w w:val="100"/>
      <w:spacing w:val="0"/>
      <w:color w:val="000000"/>
      <w:position w:val="0"/>
    </w:rPr>
  </w:style>
  <w:style w:type="character" w:customStyle="1" w:styleId="CharStyle9">
    <w:name w:val="Основной текст (3) + Candara,Не полужирный"/>
    <w:basedOn w:val="CharStyle7"/>
    <w:rPr>
      <w:lang w:val="ru-RU" w:eastAsia="ru-RU" w:bidi="ru-RU"/>
      <w:b/>
      <w:bCs/>
      <w:rFonts w:ascii="Candara" w:eastAsia="Candara" w:hAnsi="Candara" w:cs="Candara"/>
      <w:w w:val="100"/>
      <w:spacing w:val="0"/>
      <w:color w:val="000000"/>
      <w:position w:val="0"/>
    </w:rPr>
  </w:style>
  <w:style w:type="character" w:customStyle="1" w:styleId="CharStyle10">
    <w:name w:val="Основной текст (3)"/>
    <w:basedOn w:val="CharStyle7"/>
    <w:rPr>
      <w:lang w:val="ru-RU" w:eastAsia="ru-RU" w:bidi="ru-RU"/>
      <w:w w:val="100"/>
      <w:spacing w:val="0"/>
      <w:color w:val="000000"/>
      <w:position w:val="0"/>
    </w:rPr>
  </w:style>
  <w:style w:type="character" w:customStyle="1" w:styleId="CharStyle11">
    <w:name w:val="Основной текст (3) + 7 pt,Не полужирный"/>
    <w:basedOn w:val="CharStyle7"/>
    <w:rPr>
      <w:lang w:val="ru-RU" w:eastAsia="ru-RU" w:bidi="ru-RU"/>
      <w:b/>
      <w:bCs/>
      <w:sz w:val="14"/>
      <w:szCs w:val="14"/>
      <w:w w:val="100"/>
      <w:spacing w:val="0"/>
      <w:color w:val="000000"/>
      <w:position w:val="0"/>
    </w:rPr>
  </w:style>
  <w:style w:type="character" w:customStyle="1" w:styleId="CharStyle13">
    <w:name w:val="Заголовок №1_"/>
    <w:basedOn w:val="DefaultParagraphFont"/>
    <w:link w:val="Style12"/>
    <w:rPr>
      <w:b w:val="0"/>
      <w:bCs w:val="0"/>
      <w:i/>
      <w:iCs/>
      <w:u w:val="none"/>
      <w:strike w:val="0"/>
      <w:smallCaps w:val="0"/>
      <w:sz w:val="40"/>
      <w:szCs w:val="40"/>
      <w:rFonts w:ascii="Verdana" w:eastAsia="Verdana" w:hAnsi="Verdana" w:cs="Verdana"/>
      <w:spacing w:val="-4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 Times New Roman,24 pt,Не курсив,Интервал 0 pt"/>
    <w:basedOn w:val="CharStyle13"/>
    <w:rPr>
      <w:lang w:val="ru-RU" w:eastAsia="ru-RU" w:bidi="ru-RU"/>
      <w:i/>
      <w:iCs/>
      <w:sz w:val="48"/>
      <w:szCs w:val="48"/>
      <w:rFonts w:ascii="Times New Roman" w:eastAsia="Times New Roman" w:hAnsi="Times New Roman" w:cs="Times New Roman"/>
      <w:w w:val="100"/>
      <w:spacing w:val="0"/>
      <w:color w:val="000000"/>
      <w:position w:val="0"/>
    </w:rPr>
  </w:style>
  <w:style w:type="character" w:customStyle="1" w:styleId="CharStyle16">
    <w:name w:val="Заголовок №1 + 18 pt,Полужирный,Не курсив"/>
    <w:basedOn w:val="CharStyle13"/>
    <w:rPr>
      <w:lang w:val="ru-RU" w:eastAsia="ru-RU" w:bidi="ru-RU"/>
      <w:b/>
      <w:bCs/>
      <w:i/>
      <w:iCs/>
      <w:sz w:val="36"/>
      <w:szCs w:val="36"/>
      <w:w w:val="10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4)"/>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w:basedOn w:val="CharStyle21"/>
    <w:rPr>
      <w:lang w:val="ru-RU" w:eastAsia="ru-RU" w:bidi="ru-RU"/>
      <w:u w:val="single"/>
      <w:sz w:val="24"/>
      <w:szCs w:val="24"/>
      <w:w w:val="100"/>
      <w:spacing w:val="0"/>
      <w:color w:val="000000"/>
      <w:position w:val="0"/>
    </w:rPr>
  </w:style>
  <w:style w:type="character" w:customStyle="1" w:styleId="CharStyle23">
    <w:name w:val="Основной текст + Интервал 4 pt"/>
    <w:basedOn w:val="CharStyle21"/>
    <w:rPr>
      <w:lang w:val="ru-RU" w:eastAsia="ru-RU" w:bidi="ru-RU"/>
      <w:sz w:val="24"/>
      <w:szCs w:val="24"/>
      <w:w w:val="100"/>
      <w:spacing w:val="80"/>
      <w:color w:val="000000"/>
      <w:position w:val="0"/>
    </w:rPr>
  </w:style>
  <w:style w:type="character" w:customStyle="1" w:styleId="CharStyle24">
    <w:name w:val="Основной текст + 10,5 pt,Интервал 1 pt"/>
    <w:basedOn w:val="CharStyle21"/>
    <w:rPr>
      <w:lang w:val="ru-RU" w:eastAsia="ru-RU" w:bidi="ru-RU"/>
      <w:sz w:val="21"/>
      <w:szCs w:val="21"/>
      <w:w w:val="100"/>
      <w:spacing w:val="20"/>
      <w:color w:val="000000"/>
      <w:position w:val="0"/>
    </w:rPr>
  </w:style>
  <w:style w:type="character" w:customStyle="1" w:styleId="CharStyle25">
    <w:name w:val="Основной текст + 15 pt,Масштаб 80%"/>
    <w:basedOn w:val="CharStyle21"/>
    <w:rPr>
      <w:lang w:val="ru-RU" w:eastAsia="ru-RU" w:bidi="ru-RU"/>
      <w:sz w:val="30"/>
      <w:szCs w:val="30"/>
      <w:w w:val="80"/>
      <w:spacing w:val="0"/>
      <w:color w:val="000000"/>
      <w:position w:val="0"/>
    </w:rPr>
  </w:style>
  <w:style w:type="character" w:customStyle="1" w:styleId="CharStyle26">
    <w:name w:val="Основной текст + Полужирный"/>
    <w:basedOn w:val="CharStyle21"/>
    <w:rPr>
      <w:lang w:val="ru-RU" w:eastAsia="ru-RU" w:bidi="ru-RU"/>
      <w:b/>
      <w:bCs/>
      <w:sz w:val="24"/>
      <w:szCs w:val="24"/>
      <w:w w:val="100"/>
      <w:spacing w:val="0"/>
      <w:color w:val="000000"/>
      <w:position w:val="0"/>
    </w:rPr>
  </w:style>
  <w:style w:type="character" w:customStyle="1" w:styleId="CharStyle27">
    <w:name w:val="Основной текст + Интервал 2 pt"/>
    <w:basedOn w:val="CharStyle21"/>
    <w:rPr>
      <w:lang w:val="en-US" w:eastAsia="en-US" w:bidi="en-US"/>
      <w:sz w:val="24"/>
      <w:szCs w:val="24"/>
      <w:w w:val="100"/>
      <w:spacing w:val="50"/>
      <w:color w:val="000000"/>
      <w:position w:val="0"/>
    </w:rPr>
  </w:style>
  <w:style w:type="character" w:customStyle="1" w:styleId="CharStyle29">
    <w:name w:val="Заголовок №2_"/>
    <w:basedOn w:val="DefaultParagraphFont"/>
    <w:link w:val="Style28"/>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31">
    <w:name w:val="Основной текст (5)_"/>
    <w:basedOn w:val="DefaultParagraphFont"/>
    <w:link w:val="Style30"/>
    <w:rPr>
      <w:b w:val="0"/>
      <w:bCs w:val="0"/>
      <w:i w:val="0"/>
      <w:iCs w:val="0"/>
      <w:u w:val="none"/>
      <w:strike w:val="0"/>
      <w:smallCaps w:val="0"/>
      <w:sz w:val="22"/>
      <w:szCs w:val="22"/>
      <w:rFonts w:ascii="Times New Roman" w:eastAsia="Times New Roman" w:hAnsi="Times New Roman" w:cs="Times New Roman"/>
    </w:rPr>
  </w:style>
  <w:style w:type="character" w:customStyle="1" w:styleId="CharStyle32">
    <w:name w:val="Основной текст (5) + 10,5 pt"/>
    <w:basedOn w:val="CharStyle31"/>
    <w:rPr>
      <w:lang w:val="ru-RU" w:eastAsia="ru-RU" w:bidi="ru-RU"/>
      <w:sz w:val="21"/>
      <w:szCs w:val="21"/>
      <w:w w:val="100"/>
      <w:spacing w:val="0"/>
      <w:color w:val="000000"/>
      <w:position w:val="0"/>
    </w:rPr>
  </w:style>
  <w:style w:type="character" w:customStyle="1" w:styleId="CharStyle33">
    <w:name w:val="Основной текст (5) + 10,5 pt"/>
    <w:basedOn w:val="CharStyle31"/>
    <w:rPr>
      <w:lang w:val="ru-RU" w:eastAsia="ru-RU" w:bidi="ru-RU"/>
      <w:sz w:val="21"/>
      <w:szCs w:val="21"/>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64"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line="178" w:lineRule="exact"/>
    </w:pPr>
    <w:rPr>
      <w:b/>
      <w:bCs/>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after="480" w:line="0" w:lineRule="exact"/>
    </w:pPr>
    <w:rPr>
      <w:b w:val="0"/>
      <w:bCs w:val="0"/>
      <w:i/>
      <w:iCs/>
      <w:u w:val="none"/>
      <w:strike w:val="0"/>
      <w:smallCaps w:val="0"/>
      <w:sz w:val="40"/>
      <w:szCs w:val="40"/>
      <w:rFonts w:ascii="Verdana" w:eastAsia="Verdana" w:hAnsi="Verdana" w:cs="Verdana"/>
      <w:spacing w:val="-40"/>
    </w:rPr>
  </w:style>
  <w:style w:type="paragraph" w:customStyle="1" w:styleId="Style17">
    <w:name w:val="Основной текст (4)"/>
    <w:basedOn w:val="Normal"/>
    <w:link w:val="CharStyle18"/>
    <w:pPr>
      <w:widowControl w:val="0"/>
      <w:shd w:val="clear" w:color="auto" w:fill="FFFFFF"/>
      <w:jc w:val="both"/>
      <w:spacing w:before="480" w:line="0" w:lineRule="exact"/>
      <w:ind w:firstLine="660"/>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240" w:line="312"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outlineLvl w:val="1"/>
      <w:spacing w:after="240" w:line="322"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0">
    <w:name w:val="Основной текст (5)"/>
    <w:basedOn w:val="Normal"/>
    <w:link w:val="CharStyle31"/>
    <w:pPr>
      <w:widowControl w:val="0"/>
      <w:shd w:val="clear" w:color="auto" w:fill="FFFFFF"/>
      <w:spacing w:before="7320" w:line="259"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