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34" w:after="93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/>
        <w:keepLines/>
        <w:shd w:val="clear" w:color="auto" w:fill="auto"/>
        <w:bidi w:val="0"/>
        <w:spacing w:before="0" w:after="381"/>
        <w:ind w:left="0" w:right="0" w:firstLine="0"/>
      </w:pPr>
      <w:bookmarkStart w:id="0" w:name="bookmark0"/>
      <w:r>
        <w:rPr>
          <w:rStyle w:val="CharStyle8"/>
          <w:b/>
          <w:bCs/>
        </w:rPr>
        <w:t>УПРАВЛЕНИЕ Федеральной антимонопольной службы по Архангельской области</w:t>
      </w:r>
      <w:bookmarkEnd w:id="0"/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421"/>
        <w:ind w:left="0" w:right="0" w:firstLine="0"/>
      </w:pPr>
      <w:r>
        <w:rPr>
          <w:rStyle w:val="CharStyle11"/>
        </w:rPr>
        <w:t xml:space="preserve">ул. К. Либкнехта, 2, г. Архангельск, 163000 Тел.: (8182) 20-73-21, факс: (8182) 21-54-45 </w:t>
      </w:r>
      <w:r>
        <w:rPr>
          <w:rStyle w:val="CharStyle11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"mailto:to29@fas.gov.ru"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to29@fas.gov.ru</w:t>
      </w:r>
      <w:r>
        <w:fldChar w:fldCharType="end"/>
      </w:r>
    </w:p>
    <w:p>
      <w:pPr>
        <w:pStyle w:val="Style12"/>
        <w:tabs>
          <w:tab w:leader="underscore" w:pos="2420" w:val="left"/>
        </w:tabs>
        <w:widowControl w:val="0"/>
        <w:keepNext w:val="0"/>
        <w:keepLines w:val="0"/>
        <w:shd w:val="clear" w:color="auto" w:fill="auto"/>
        <w:bidi w:val="0"/>
        <w:spacing w:before="0" w:after="59" w:line="200" w:lineRule="exact"/>
        <w:ind w:left="20" w:right="0" w:firstLine="0"/>
      </w:pPr>
      <w:r>
        <w:rPr>
          <w:rStyle w:val="CharStyle14"/>
          <w:lang w:val="ru-RU" w:eastAsia="ru-RU" w:bidi="ru-RU"/>
        </w:rPr>
        <w:tab/>
      </w:r>
    </w:p>
    <w:p>
      <w:pPr>
        <w:pStyle w:val="Style15"/>
        <w:tabs>
          <w:tab w:leader="none" w:pos="2502" w:val="center"/>
          <w:tab w:leader="underscore" w:pos="4782" w:val="lef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20" w:right="0" w:firstLine="0"/>
      </w:pPr>
      <w:r>
        <w:rPr>
          <w:rStyle w:val="CharStyle17"/>
        </w:rPr>
        <w:t>На №</w:t>
        <w:tab/>
        <w:t xml:space="preserve"> от</w:t>
        <w:tab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43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Дело № 345оз-17 </w:t>
      </w:r>
      <w:r>
        <w:rPr>
          <w:rStyle w:val="CharStyle18"/>
          <w:b/>
          <w:bCs/>
        </w:rPr>
        <w:t>Заказчик 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Архангельской области «Главное управление капитального строительства»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163000, г. Архангельск, пр. Троицкий, дом 45, оф. 1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240" w:line="250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"mailto:dvinaland@yandex.ru"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dvinaland@yandex.ru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rStyle w:val="CharStyle18"/>
          <w:b/>
          <w:bCs/>
        </w:rPr>
        <w:t>Уполномоченный орган 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Контрактное агентство Архангельской области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163000, г. Архангельск, ул. Выучейского, д. 18, оф. 904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244" w:line="250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"mailto:dkp@dvinaland.ru"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dkp@dvinaland.ru</w:t>
      </w:r>
      <w:r>
        <w:fldChar w:fldCharType="end"/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21"/>
          <w:b/>
          <w:bCs/>
        </w:rPr>
        <w:t>Оператор электронной площадки: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«Единая электронная торговая площадка»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117312, г. Москва, ул. Кожевническая, д. 14, стр. 5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509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"mailto:info@roseltorg.ru"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info@roseltorg.ru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rStyle w:val="CharStyle22"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"Недра Сибири"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670031, Республика Бурятии, г.Улан-Удэ,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ул.Загородная 79 Б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3561" w:left="3350" w:right="3657" w:bottom="4204" w:header="0" w:footer="3" w:gutter="0"/>
          <w:rtlGutter w:val="0"/>
          <w:cols w:num="2" w:space="720" w:equalWidth="0">
            <w:col w:w="4781" w:space="854"/>
            <w:col w:w="4195"/>
          </w:cols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"mailto:nedrasibirirb@yandex.ru"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nedrasibirirb@yandex.ru</w:t>
      </w:r>
      <w:r>
        <w:fldChar w:fldCharType="end"/>
      </w:r>
    </w:p>
    <w:p>
      <w:pPr>
        <w:widowControl w:val="0"/>
        <w:spacing w:before="62" w:after="6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88" w:line="210" w:lineRule="exact"/>
        <w:ind w:left="4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23"/>
        <w:tabs>
          <w:tab w:leader="none" w:pos="8256" w:val="right"/>
          <w:tab w:leader="none" w:pos="972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9" w:line="210" w:lineRule="exact"/>
        <w:ind w:left="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01 ноябри 2017 года</w:t>
        <w:tab/>
        <w:t>г.</w:t>
        <w:tab/>
        <w:t>Архангельск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/>
        <w:ind w:left="240" w:right="7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Комиссия Управления Федеральной антимонопольной службы по Архангельской области по контролю в сфере закупок (далее </w:t>
      </w:r>
      <w:r>
        <w:rPr>
          <w:rStyle w:val="CharStyle27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 ФАС России) в составе: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92" w:line="210" w:lineRule="exact"/>
        <w:ind w:left="780" w:right="0" w:firstLine="0"/>
      </w:pPr>
      <w:r>
        <w:rPr>
          <w:rStyle w:val="CharStyle28"/>
          <w:b/>
          <w:bCs/>
        </w:rPr>
        <w:t>Председатель комиссии:</w:t>
      </w:r>
    </w:p>
    <w:p>
      <w:pPr>
        <w:pStyle w:val="Style25"/>
        <w:tabs>
          <w:tab w:leader="none" w:pos="2405" w:val="left"/>
        </w:tabs>
        <w:widowControl w:val="0"/>
        <w:keepNext w:val="0"/>
        <w:keepLines w:val="0"/>
        <w:shd w:val="clear" w:color="auto" w:fill="auto"/>
        <w:bidi w:val="0"/>
        <w:spacing w:before="0" w:after="35" w:line="210" w:lineRule="exact"/>
        <w:ind w:left="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Короткова И.Ю.</w:t>
        <w:tab/>
        <w:t>Заместитель руководителя Управления - начальник отдела контроля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1" w:line="210" w:lineRule="exact"/>
        <w:ind w:left="24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закупок,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83" w:lineRule="exact"/>
        <w:ind w:left="780" w:right="0" w:firstLine="0"/>
      </w:pPr>
      <w:r>
        <w:rPr>
          <w:rStyle w:val="CharStyle18"/>
          <w:b/>
          <w:bCs/>
        </w:rPr>
        <w:t>Члены комиссии: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Вознесенская Н.В. Главный специалист-эксперт отдела контроля закупок,</w:t>
      </w:r>
    </w:p>
    <w:p>
      <w:pPr>
        <w:pStyle w:val="Style25"/>
        <w:tabs>
          <w:tab w:leader="none" w:pos="2405" w:val="left"/>
        </w:tabs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Куницын А.С.</w:t>
        <w:tab/>
        <w:t>Главный специалист-эксперт отдела антимонопольного контроля и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27" w:line="210" w:lineRule="exact"/>
        <w:ind w:left="24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рекламы;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40" w:right="7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пункта 1 части 15 статьи 99, статьи 106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40" w:right="0" w:firstLine="700"/>
      </w:pPr>
      <w:r>
        <w:rPr>
          <w:rStyle w:val="CharStyle28"/>
          <w:b/>
          <w:bCs/>
        </w:rPr>
        <w:t>в присутствии представителей от: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40" w:right="760" w:firstLine="700"/>
      </w:pPr>
      <w:r>
        <w:rPr>
          <w:rStyle w:val="CharStyle29"/>
        </w:rPr>
        <w:t xml:space="preserve">Заказчика: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Правдиной Е.А. (доверенность от 20.04.2017), Рядовкиной </w:t>
      </w:r>
      <w:r>
        <w:rPr>
          <w:rStyle w:val="CharStyle30"/>
        </w:rPr>
        <w:t xml:space="preserve">Е.В.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(доверенность от 09.01.2017), Галкина С.В. (доверенность от 09.01.2017);</w:t>
      </w:r>
    </w:p>
    <w:p>
      <w:pPr>
        <w:pStyle w:val="Style25"/>
        <w:tabs>
          <w:tab w:leader="none" w:pos="9326" w:val="right"/>
          <w:tab w:leader="none" w:pos="10267" w:val="right"/>
          <w:tab w:leader="none" w:pos="9662" w:val="right"/>
          <w:tab w:leader="none" w:pos="10267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40" w:right="200" w:firstLine="700"/>
      </w:pPr>
      <w:r>
        <w:rPr>
          <w:rStyle w:val="CharStyle29"/>
        </w:rPr>
        <w:t xml:space="preserve">Уполномоченного органа: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Хабарова </w:t>
      </w:r>
      <w:r>
        <w:rPr>
          <w:rStyle w:val="CharStyle29"/>
        </w:rPr>
        <w:t xml:space="preserve">В.В.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(доверенность от 06.09.2017 № 24-Д). </w:t>
      </w:r>
      <w:r>
        <w:rPr>
          <w:rStyle w:val="CharStyle29"/>
        </w:rPr>
        <w:t xml:space="preserve">Заявитель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уведомлен надлежащим образом о времени и месте рассмотрения настоящего дела, своего представителя не направил.</w:t>
        <w:tab/>
        <w:t>п</w:t>
        <w:tab/>
        <w:t>л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i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пса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0" w:right="0" w:firstLine="0"/>
      </w:pPr>
      <w:r>
        <w:rPr>
          <w:rStyle w:val="CharStyle33"/>
        </w:rPr>
        <w:t>«ИПП «ПС», пр. Новгородский. 32, ИНН 2901120811, зак. 787, т. 2500, 16.08.2017</w:t>
      </w:r>
      <w:r>
        <w:br w:type="page"/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111" w:line="274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25 октября 2017 года в Архангельское УФАС России - уполномоченный федеральный орган исполнительной власти, осуществляющий контроль в сфере закупок, поступила жалоба ООО "Недра Сибири" (далее - Заявитель) на действия заказчика - ГКУ Архангельской области «Главное управление капитального строительства» (далее - Заказчик), Уполномоченного органа - Контрактного агентства Архангельской области (далее - Уполномоченный орган), при проведении электронного аукциона на право заключения государственного контракта на выполнение работ по разделу «Технологические решения» на объекте «Пристройка сценическо-зрительного комплекса к основному зданию и реконструкция существующего здания Архангельского областного театра кукол» (извещение № 0124200000617005488).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10" w:lineRule="exact"/>
        <w:ind w:left="20" w:right="0" w:firstLine="860"/>
      </w:pPr>
      <w:r>
        <w:rPr>
          <w:rStyle w:val="CharStyle28"/>
          <w:b/>
          <w:bCs/>
        </w:rPr>
        <w:t>Содержание жалобы: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Обжалуются действия Заказчика, Уполномоченного органа в связи с утверждением документации об аукционе несоответствующей ФЗ «О контрактной системе».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не согласен с доводами Заявителя по основаниям, изложенным в объяснении по жалобе от 26.10.2017 № 2531.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180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 не согласен с доводами Заявителя по основаниям, изложенным в объяснении по жалобе от 24.10.2017 № 314-05-1087.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25"/>
        <w:tabs>
          <w:tab w:leader="none" w:pos="9491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Постановлением Правительства Архангельской области «Об утверждении Положения о контрактном агентстве Архангельской области» от 18.12.2009 №215-пп контрактное агентство Архангельской области является уполномоченным исполнительным органом государственной власти Архангельской области, осуществляющим: регулирование контрактной системы в сфере закупок товаров, работ, услуг для обеспечения нужд Архангельской области;</w:t>
        <w:tab/>
        <w:t>определение поставщиков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(подрядчиков, исполнителей) для обеспечения нужд Архангельской области; организацию и проведение аукционов по продаже права на заключение договоров аренды отдельных лесных участков.</w:t>
      </w:r>
    </w:p>
    <w:p>
      <w:pPr>
        <w:pStyle w:val="Style25"/>
        <w:tabs>
          <w:tab w:leader="none" w:pos="9491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порядке, установленном Постановлением Правительства Архангельской области «Порядок взаимодействия контрактного агентства Архангельской</w:t>
        <w:tab/>
        <w:t>области, государственных</w:t>
      </w:r>
    </w:p>
    <w:p>
      <w:pPr>
        <w:pStyle w:val="Style25"/>
        <w:tabs>
          <w:tab w:leader="none" w:pos="9491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заказчиков Архангельской области, государственных</w:t>
        <w:tab/>
        <w:t>бюджетных учреждений</w:t>
      </w:r>
    </w:p>
    <w:p>
      <w:pPr>
        <w:pStyle w:val="Style25"/>
        <w:tabs>
          <w:tab w:leader="none" w:pos="9491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Архангельской области, муниципальных заказчиков</w:t>
        <w:tab/>
        <w:t>Архангельской области,</w:t>
      </w:r>
    </w:p>
    <w:p>
      <w:pPr>
        <w:pStyle w:val="Style25"/>
        <w:tabs>
          <w:tab w:leader="none" w:pos="9491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муниципальных бюджетных учреждений муниципальных</w:t>
        <w:tab/>
        <w:t>образований Архангельской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области и отдельных юридических лиц при определении поставщиков (подрядчиков, исполнителей) для обеспечения нужд Архангельской области» от 20 декабря 2013 года № 595-пп (далее - Постановление № 595-пп).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Постановлению № 595-пп Заказчик направляет в Уполномоченный орган заявку на осуществление закупки. Уполномоченный орган на основании представленной заявки Заказчика подготавливает документацию об электронном аукционе, и организует осуществление закупки.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12.10.2017 Уполномоченным органом на официальном сайте единой информационной системы в сфере закупок в сети Интернет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размещено извещение №0124200000617005488 о проведении электронного аукциона и документация об электронном аукционе на право заключения государственного контракта на выполнение работ по разделу «Технологические решения» на объекте «Пристройка сценическо- зрительного комплекса к основному зданию и реконструкция существующего здания Архангельского областного театра кукол» (далее - документация об аукционе).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государственного контракта - 144 980 280,68 рублей.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 - АО «Единая электронная торговая площадка».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spacing w:before="0" w:after="0"/>
        <w:ind w:left="40" w:right="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считает, что в документации об аукционе и ее прилоэ/сениях не представлена проектная документация в полном объеме. В составе архивных файлов аукционной документации под названием «Проект технологические решения», «сметы технологическое решение» представлен лишь раздел 5 проектной документации «Сведения об инженерном оборудовании, о сетях инженерно-технического обеспечения, перечень инженерно-технических мероприятий, содержание технологических решений» и сметные расчеты.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1 части 1 статьи 64 ФЗ «О контрактной системе»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1 части 1 статьи 33 ФЗ «О контрактной системе»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2 статьи 33 ФЗ «О контрактной системе»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 статьи 743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документацией, определяющей объем, содержание работ и другие предъявляемые к ним требования, и со сметой, определяющей цену работ.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6 статьи 52 Градостроительного кодекса Российской Федерации лицо, осуществляющее строительство, обязано осуществлять строительство, реконструкцию, капитальный ремонт объекта капитального строительства, в том числе в соответствии с проектной документацией.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согласно части 2 статьи 48 Градостроительного Кодекса Российской Федерации 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ремонта, если при его проведении затрагиваются конструктивные и другие характеристики надежности и безопасности объектов капитального строительства.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анализа указанных норм следует, что прямого указания на необходимость размещения на официальном сайте полного объема проектной документации не имеется, а указывается о том, чтобы размещенная документация о торгах должна содержать информацию, необходимую и достаточную для того, чтобы участники торгов могли принять решение об участии в них, подготовить и подать заявки, которые могли быть правильно оценены заказчиком.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Объектом закупки является выполнение работ по разделу «Технологические решения» на объекте «Пристройка сценическо-зрительного комплекса к основному зданию и реконструкция существующего здания Архангельского областного театра кукол».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  <w:sectPr>
          <w:type w:val="continuous"/>
          <w:pgSz w:w="16838" w:h="23810"/>
          <w:pgMar w:top="4097" w:left="3626" w:right="2757" w:bottom="446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пунктом 3 части 1.2 «Описание объекта закупки» раздела II «Сведения о работах, на выполнение которых осуществляется закупка, и об условиях контракта» документации об аукционе выполнение работ по разделу «Технологические </w:t>
      </w:r>
      <w:r>
        <w:rPr>
          <w:rStyle w:val="CharStyle36"/>
        </w:rPr>
        <w:t xml:space="preserve">решения» объекта «Пристройка сценическо-зрительного комплекса к основному зданию 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реконструкция существующего здания Архангельского областного театра кукол» осуществляется в соответствии с Техническим Заданием и проектно-сметной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233" w:line="269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ительное заключение ГАУ АО «Управление оверности определения сметной стоимости от 04</w:t>
      </w:r>
    </w:p>
    <w:p>
      <w:pPr>
        <w:pStyle w:val="Style25"/>
        <w:framePr w:w="4250" w:h="5266" w:wrap="around" w:hAnchor="margin" w:x="-3997" w:y="70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140" w:firstLine="0"/>
      </w:pPr>
      <w:r>
        <w:rPr>
          <w:rStyle w:val="CharStyle37"/>
          <w:spacing w:val="0"/>
        </w:rPr>
        <w:t>документацией, получившей полож государственной экспертизы» о дост октября 2017 г. № 29-1-124с-17.</w:t>
      </w:r>
    </w:p>
    <w:p>
      <w:pPr>
        <w:pStyle w:val="Style25"/>
        <w:framePr w:w="4250" w:h="5266" w:wrap="around" w:hAnchor="margin" w:x="-3997" w:y="70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140" w:firstLine="700"/>
      </w:pPr>
      <w:r>
        <w:rPr>
          <w:rStyle w:val="CharStyle37"/>
          <w:spacing w:val="0"/>
        </w:rPr>
        <w:t>В заседании Комиссии Арханф пояснили, что раздел «Технологически сметной документации объекта &lt;■ основному зданию и реконструкция театра кукол». Работы, включенные в о не являются объектом закупки теку проведены ранее, в настоящее время на Следовательно, проектно-сметн размещена на официальном сайте ед: в полном объеме (в составе раздела «Т для того, чтобы участники торгов могл подать заявки.</w:t>
      </w:r>
    </w:p>
    <w:p>
      <w:pPr>
        <w:pStyle w:val="Style25"/>
        <w:framePr w:w="4250" w:h="5266" w:wrap="around" w:hAnchor="margin" w:x="-3997" w:y="70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140" w:firstLine="700"/>
      </w:pPr>
      <w:r>
        <w:rPr>
          <w:rStyle w:val="CharStyle37"/>
          <w:spacing w:val="0"/>
        </w:rPr>
        <w:t xml:space="preserve">Кроме того, Заявитель на заседа: представителей не обеспечил, в подтверждающих, что Заказчиком разме </w:t>
      </w:r>
      <w:r>
        <w:rPr>
          <w:rStyle w:val="CharStyle38"/>
          <w:spacing w:val="0"/>
        </w:rPr>
        <w:t>Таким образом, данный довод</w:t>
      </w:r>
    </w:p>
    <w:p>
      <w:pPr>
        <w:pStyle w:val="Style15"/>
        <w:framePr w:h="211" w:hSpace="19" w:vSpace="58" w:wrap="around" w:vAnchor="text" w:hAnchor="margin" w:x="-177" w:y="558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0" w:right="0" w:firstLine="0"/>
      </w:pPr>
      <w:r>
        <w:rPr>
          <w:rStyle w:val="CharStyle39"/>
          <w:spacing w:val="0"/>
        </w:rPr>
        <w:t>:&lt;Пр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ельского УФАС России представители Заказчика е решения» является составной частью проектно- истройка сценическо-зрительного комплекса к существующего здания Архангельского областного стальные разделы проектно-сметной документации, щего аукциона. Торги на данные работы были объекте ведутся работы.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233" w:line="274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ая документация по рассматриваемой закупке иной информационной системы в сфере закупок ехнологические решения») и является достаточной и принять решение об участии в ней, подготовить и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244" w:line="283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ние Комиссии Архангельского УФАС России явку составе жалобы не представил доказательств, щена проектная документация не в полном объеме. </w:t>
      </w:r>
      <w:r>
        <w:rPr>
          <w:rStyle w:val="CharStyle29"/>
        </w:rPr>
        <w:t>Заявителя не подтверждается.</w:t>
      </w:r>
    </w:p>
    <w:p>
      <w:pPr>
        <w:pStyle w:val="Style25"/>
        <w:framePr w:w="4264" w:h="837" w:wrap="around" w:vAnchor="text" w:hAnchor="margin" w:x="-3993" w:y="-63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0" w:right="120" w:firstLine="700"/>
      </w:pPr>
      <w:r>
        <w:rPr>
          <w:rStyle w:val="CharStyle37"/>
          <w:spacing w:val="0"/>
        </w:rPr>
        <w:t>Руководствуясь пунктом 1 част: контрактной системе», Комиссия Упра: Архангельской области по контролю в сф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595" w:line="278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 15 статьи 99 и частью 8 статьи 106 ФЗ «О вления Федеральной антимонопольной службы по ере закупок,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440" w:right="0" w:firstLine="0"/>
        <w:sectPr>
          <w:pgSz w:w="16838" w:h="23810"/>
          <w:pgMar w:top="4100" w:left="7497" w:right="3859" w:bottom="802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widowControl w:val="0"/>
        <w:spacing w:before="61" w:after="6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5"/>
        <w:framePr w:h="221" w:hSpace="62" w:wrap="around" w:vAnchor="text" w:hAnchor="margin" w:x="3356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0" w:right="0" w:firstLine="0"/>
      </w:pPr>
      <w:r>
        <w:rPr>
          <w:rStyle w:val="CharStyle37"/>
          <w:spacing w:val="0"/>
        </w:rPr>
        <w:t>Сибири" необоснованной.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  <w:sectPr>
          <w:type w:val="continuous"/>
          <w:pgSz w:w="16838" w:h="23810"/>
          <w:pgMar w:top="4100" w:left="4228" w:right="8980" w:bottom="802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1. Признать жалобу ООО "Недра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40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rStyle w:val="CharStyle42"/>
          <w:i/>
          <w:iCs/>
        </w:rPr>
        <w:t>Примечание.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Согласно части 9 статьи 1 результатам рассмотрения жалобы по сущее трех </w:t>
      </w:r>
      <w:r>
        <w:rPr>
          <w:rStyle w:val="CharStyle43"/>
          <w:i/>
          <w:iCs/>
        </w:rPr>
        <w:t xml:space="preserve">Mecnifee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 дня его принятия.</w:t>
      </w:r>
    </w:p>
    <w:p>
      <w:pPr>
        <w:pStyle w:val="Style40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6838" w:h="23810"/>
          <w:pgMar w:top="4100" w:left="3484" w:right="3849" w:bottom="8026" w:header="0" w:footer="3" w:gutter="0"/>
          <w:rtlGutter w:val="0"/>
          <w:cols w:num="2" w:space="720" w:equalWidth="0">
            <w:col w:w="3992" w:space="102"/>
            <w:col w:w="5410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16 ФЗ «О контрактной системе» решение, принятое по тву, может быть обжаловано в судебном порядке в течение</w:t>
      </w:r>
    </w:p>
    <w:p>
      <w:pPr>
        <w:widowControl w:val="0"/>
        <w:spacing w:before="45" w:after="4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3"/>
        <w:framePr w:w="2694" w:h="1075" w:wrap="around" w:vAnchor="text" w:hAnchor="margin" w:x="-7497" w:y="-261"/>
        <w:widowControl w:val="0"/>
        <w:keepNext w:val="0"/>
        <w:keepLines w:val="0"/>
        <w:shd w:val="clear" w:color="auto" w:fill="auto"/>
        <w:bidi w:val="0"/>
        <w:jc w:val="both"/>
        <w:spacing w:before="0" w:after="0" w:line="538" w:lineRule="exact"/>
        <w:ind w:left="0" w:right="100" w:firstLine="0"/>
      </w:pPr>
      <w:r>
        <w:rPr>
          <w:rStyle w:val="CharStyle44"/>
          <w:b/>
          <w:bCs/>
          <w:spacing w:val="0"/>
        </w:rPr>
        <w:t>Председатель Комиссии Члены Комиссии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right"/>
        <w:spacing w:before="0" w:after="0" w:line="547" w:lineRule="exact"/>
        <w:ind w:left="0" w:right="3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И.Ю. Короткова Н.В. Вознесенская А.С. Куницын</w:t>
      </w:r>
    </w:p>
    <w:sectPr>
      <w:type w:val="continuous"/>
      <w:pgSz w:w="16838" w:h="23810"/>
      <w:pgMar w:top="4100" w:left="11001" w:right="3527" w:bottom="802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Заголовок №1_"/>
    <w:basedOn w:val="DefaultParagraphFont"/>
    <w:link w:val="Style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Заголовок №1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4">
    <w:name w:val="Основной текст (4)"/>
    <w:basedOn w:val="CharStyle13"/>
    <w:rPr>
      <w:w w:val="100"/>
      <w:spacing w:val="0"/>
      <w:color w:val="000000"/>
      <w:position w:val="0"/>
    </w:rPr>
  </w:style>
  <w:style w:type="character" w:customStyle="1" w:styleId="CharStyle16">
    <w:name w:val="Основной текст (5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7">
    <w:name w:val="Основной текст (5)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2)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0">
    <w:name w:val="Основной текст (6)_"/>
    <w:basedOn w:val="DefaultParagraphFont"/>
    <w:link w:val="Style19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1">
    <w:name w:val="Основной текст (6)"/>
    <w:basedOn w:val="CharStyle20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2">
    <w:name w:val="Основной текст (5) + Полужирный"/>
    <w:basedOn w:val="CharStyle16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24">
    <w:name w:val="Основной текст (7)_"/>
    <w:basedOn w:val="DefaultParagraphFont"/>
    <w:link w:val="Style2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26">
    <w:name w:val="Основной текст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27">
    <w:name w:val="Основной текст"/>
    <w:basedOn w:val="CharStyle2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8">
    <w:name w:val="Основной текст (7)"/>
    <w:basedOn w:val="CharStyle2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9">
    <w:name w:val="Основной текст + Полужирный"/>
    <w:basedOn w:val="CharStyle2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0">
    <w:name w:val="Основной текст + 10 pt"/>
    <w:basedOn w:val="CharStyle26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32">
    <w:name w:val="Основной текст (8)_"/>
    <w:basedOn w:val="DefaultParagraphFont"/>
    <w:link w:val="Style31"/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</w:rPr>
  </w:style>
  <w:style w:type="character" w:customStyle="1" w:styleId="CharStyle33">
    <w:name w:val="Основной текст (8)"/>
    <w:basedOn w:val="CharStyle3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5">
    <w:name w:val="Основной текст (9)_"/>
    <w:basedOn w:val="DefaultParagraphFont"/>
    <w:link w:val="Style34"/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6">
    <w:name w:val="Основной текст + 11 pt"/>
    <w:basedOn w:val="CharStyle26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3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5"/>
    </w:rPr>
  </w:style>
  <w:style w:type="character" w:customStyle="1" w:styleId="CharStyle38">
    <w:name w:val="Основной текст + Полужирный,Интервал 0 pt Exact"/>
    <w:basedOn w:val="CharStyle26"/>
    <w:rPr>
      <w:lang w:val="ru-RU" w:eastAsia="ru-RU" w:bidi="ru-RU"/>
      <w:b/>
      <w:bCs/>
      <w:sz w:val="19"/>
      <w:szCs w:val="19"/>
      <w:w w:val="100"/>
      <w:spacing w:val="6"/>
      <w:color w:val="000000"/>
      <w:position w:val="0"/>
    </w:rPr>
  </w:style>
  <w:style w:type="character" w:customStyle="1" w:styleId="CharStyle39">
    <w:name w:val="Основной текст (5)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6"/>
    </w:rPr>
  </w:style>
  <w:style w:type="character" w:customStyle="1" w:styleId="CharStyle41">
    <w:name w:val="Основной текст (10)_"/>
    <w:basedOn w:val="DefaultParagraphFont"/>
    <w:link w:val="Style40"/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42">
    <w:name w:val="Основной текст (10)"/>
    <w:basedOn w:val="CharStyle41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43">
    <w:name w:val="Основной текст (10) + Century Gothic,7 pt"/>
    <w:basedOn w:val="CharStyle41"/>
    <w:rPr>
      <w:lang w:val="en-US" w:eastAsia="en-US" w:bidi="en-US"/>
      <w:sz w:val="14"/>
      <w:szCs w:val="14"/>
      <w:rFonts w:ascii="Century Gothic" w:eastAsia="Century Gothic" w:hAnsi="Century Gothic" w:cs="Century Gothic"/>
      <w:w w:val="100"/>
      <w:spacing w:val="0"/>
      <w:color w:val="000000"/>
      <w:position w:val="0"/>
    </w:rPr>
  </w:style>
  <w:style w:type="character" w:customStyle="1" w:styleId="CharStyle44">
    <w:name w:val="Основной текст (7) Exact"/>
    <w:basedOn w:val="DefaultParagraphFont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6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300" w:after="120" w:line="269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6">
    <w:name w:val="Заголовок №1"/>
    <w:basedOn w:val="Normal"/>
    <w:link w:val="CharStyle7"/>
    <w:pPr>
      <w:widowControl w:val="0"/>
      <w:shd w:val="clear" w:color="auto" w:fill="FFFFFF"/>
      <w:jc w:val="center"/>
      <w:outlineLvl w:val="0"/>
      <w:spacing w:before="120" w:after="300" w:line="302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300" w:after="420" w:line="20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both"/>
      <w:spacing w:before="420" w:after="120" w:line="0" w:lineRule="exact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FFFFFF"/>
      <w:jc w:val="both"/>
      <w:spacing w:before="12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9">
    <w:name w:val="Основной текст (6)"/>
    <w:basedOn w:val="Normal"/>
    <w:link w:val="CharStyle20"/>
    <w:pPr>
      <w:widowControl w:val="0"/>
      <w:shd w:val="clear" w:color="auto" w:fill="FFFFFF"/>
      <w:spacing w:before="240" w:line="245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23">
    <w:name w:val="Основной текст (7)"/>
    <w:basedOn w:val="Normal"/>
    <w:link w:val="CharStyle24"/>
    <w:pPr>
      <w:widowControl w:val="0"/>
      <w:shd w:val="clear" w:color="auto" w:fill="FFFFFF"/>
      <w:spacing w:after="120" w:line="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25">
    <w:name w:val="Основной текст"/>
    <w:basedOn w:val="Normal"/>
    <w:link w:val="CharStyle26"/>
    <w:pPr>
      <w:widowControl w:val="0"/>
      <w:shd w:val="clear" w:color="auto" w:fill="FFFFFF"/>
      <w:jc w:val="both"/>
      <w:spacing w:before="120" w:line="259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31">
    <w:name w:val="Основной текст (8)"/>
    <w:basedOn w:val="Normal"/>
    <w:link w:val="CharStyle3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</w:rPr>
  </w:style>
  <w:style w:type="paragraph" w:customStyle="1" w:styleId="Style34">
    <w:name w:val="Основной текст (9)"/>
    <w:basedOn w:val="Normal"/>
    <w:link w:val="CharStyle35"/>
    <w:pPr>
      <w:widowControl w:val="0"/>
      <w:shd w:val="clear" w:color="auto" w:fill="FFFFFF"/>
      <w:jc w:val="both"/>
      <w:spacing w:line="274" w:lineRule="exact"/>
      <w:ind w:firstLine="700"/>
    </w:pPr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40">
    <w:name w:val="Основной текст (10)"/>
    <w:basedOn w:val="Normal"/>
    <w:link w:val="CharStyle41"/>
    <w:pPr>
      <w:widowControl w:val="0"/>
      <w:shd w:val="clear" w:color="auto" w:fill="FFFFFF"/>
      <w:jc w:val="both"/>
      <w:spacing w:line="221" w:lineRule="exact"/>
    </w:pPr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