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46" w:after="26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33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 Ворошиловский, 2/2,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9"/>
        </w:rPr>
        <w:instrText> HYPERLINK "mailto:to61@fas.gov.ru" </w:instrText>
      </w:r>
      <w:r>
        <w:fldChar w:fldCharType="separate"/>
      </w:r>
      <w:r>
        <w:rPr>
          <w:rStyle w:val="Hyperlink"/>
        </w:rPr>
        <w:t>to61@fas.gov.ru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10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Лукаш А.В. (далее - Заявитель)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бюджетное учреждение Ростовской области «Онкологический диспансер» в г. Таганроге (далее - Заказчик)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40" w:line="2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347910, г. Таганрог, ул. Московская, 17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93" w:left="1076" w:right="985" w:bottom="527" w:header="0" w:footer="3" w:gutter="0"/>
          <w:rtlGutter w:val="0"/>
          <w:cols w:num="2" w:space="689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 (далее — Оператор)</w:t>
      </w:r>
    </w:p>
    <w:p>
      <w:pPr>
        <w:widowControl w:val="0"/>
        <w:spacing w:line="228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10" w:wrap="around" w:vAnchor="text" w:hAnchor="margin" w:x="2932" w:y="10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>/04</w:t>
      </w:r>
    </w:p>
    <w:p>
      <w:pPr>
        <w:pStyle w:val="Style16"/>
        <w:tabs>
          <w:tab w:leader="none" w:pos="2098" w:val="right"/>
        </w:tabs>
        <w:widowControl w:val="0"/>
        <w:keepNext/>
        <w:keepLines/>
        <w:shd w:val="clear" w:color="auto" w:fill="auto"/>
        <w:bidi w:val="0"/>
        <w:spacing w:before="0" w:after="0" w:line="240" w:lineRule="exact"/>
        <w:ind w:left="0" w:right="0" w:firstLine="0"/>
        <w:sectPr>
          <w:type w:val="continuous"/>
          <w:pgSz w:w="11906" w:h="16838"/>
          <w:pgMar w:top="493" w:left="1791" w:right="7599" w:bottom="527" w:header="0" w:footer="3" w:gutter="0"/>
          <w:rtlGutter w:val="0"/>
          <w:cols w:space="720"/>
          <w:noEndnote/>
          <w:docGrid w:linePitch="360"/>
        </w:sectPr>
      </w:pPr>
      <w:bookmarkStart w:id="1" w:name="bookmark1"/>
      <w:r>
        <w:rPr>
          <w:rStyle w:val="CharStyle18"/>
          <w:i/>
          <w:iCs/>
        </w:rPr>
        <w:t>{</w:t>
        <w:tab/>
      </w:r>
      <w:r>
        <w:rPr>
          <w:rStyle w:val="CharStyle19"/>
          <w:i/>
          <w:iCs/>
        </w:rPr>
        <w:t>2.А</w:t>
      </w:r>
      <w:bookmarkEnd w:id="1"/>
    </w:p>
    <w:p>
      <w:pPr>
        <w:widowControl w:val="0"/>
        <w:spacing w:line="131" w:lineRule="exact"/>
        <w:rPr>
          <w:sz w:val="11"/>
          <w:szCs w:val="11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center"/>
        <w:spacing w:before="0" w:after="0" w:line="269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0" w:line="269" w:lineRule="exact"/>
        <w:ind w:left="0" w:right="0" w:firstLine="0"/>
        <w:sectPr>
          <w:type w:val="continuous"/>
          <w:pgSz w:w="11906" w:h="16838"/>
          <w:pgMar w:top="493" w:left="3035" w:right="2661" w:bottom="52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2191/04 о нарушении законодательства о контрактной системе в сфере закупок</w:t>
      </w: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21" w:wrap="around" w:vAnchor="text" w:hAnchor="margin" w:x="8097" w:y="2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4"/>
          <w:spacing w:val="0"/>
        </w:rPr>
        <w:t>г. Ростов-на-Дону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15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«14» ноября 2017 года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 ФАС России) по контролю соблюдения законодательства о контрактной системе в сфере закупок (далее - Комиссия) в составе:</w:t>
      </w:r>
    </w:p>
    <w:p>
      <w:pPr>
        <w:pStyle w:val="Style12"/>
        <w:tabs>
          <w:tab w:leader="none" w:pos="56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Кожемяко Н.А.</w:t>
      </w:r>
    </w:p>
    <w:p>
      <w:pPr>
        <w:pStyle w:val="Style12"/>
        <w:tabs>
          <w:tab w:leader="none" w:pos="56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Изварина О.А.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56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Пахальян А.И.,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31" w:line="269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дело № 2191/04 по жалобе Заявителя о нарушении аукционной комиссией Заказчика норм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в присутствии представителей Заказчика (Нестеренко М.А., Кузнецов Ю.В.), в отсутствие иных лиц, извещенных надлежащим образом,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45" w:line="230" w:lineRule="exact"/>
        <w:ind w:left="4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поступила жалоба Заявителя (вх, № 16888 от 08.11.2017) на действия аукционной комиссии Заказчика при проведении электронного аукциона №0358200000517000115 «Капитальный ремонт кровли Онкологического диспансера радиологического отделения по адресу: Ростовская область, г. Таганрог, ул.Толбухина, 5-3» (далее - аукцион).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оспаривает решение комиссии Заказчика об отказе в допуске к участию в аукционе по результатам рассмотрения первых частей заявок.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Заказчика против доводов жалобы возражали, просили признать ее необоснованной, представили возражения, согласно которым Заказчик считает, что нарушений Закона допущено не было.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Изучив материалы дела, а также по итогам проведения внеплановой проверки в соответствии с ч. 3 ст. 99 Закона, п. 3.31 Регламента, утвержденного Приказом ФАС России от 19.11.2014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727/14, Комиссия Ростовского УФАС России установила.</w:t>
      </w:r>
    </w:p>
    <w:p>
      <w:pPr>
        <w:pStyle w:val="Style12"/>
        <w:numPr>
          <w:ilvl w:val="0"/>
          <w:numId w:val="1"/>
        </w:numPr>
        <w:tabs>
          <w:tab w:leader="none" w:pos="177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официальном сайте Единой информационной системы в сфере закупок опубликовано извещение о проведении аукциона и документация об электронном аукционе, утвержденная Заказчиком.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4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извещению: 1) начальная (максимальная) цена контракта составляет 1 762 000,00 руб.; 2) дата и время окончания подачи заявок: 30.10.2017 09:00.</w:t>
      </w:r>
      <w:r>
        <w:br w:type="page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4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от</w:t>
      </w:r>
    </w:p>
    <w:p>
      <w:pPr>
        <w:pStyle w:val="Style12"/>
        <w:numPr>
          <w:ilvl w:val="0"/>
          <w:numId w:val="3"/>
        </w:numPr>
        <w:tabs>
          <w:tab w:leader="none" w:pos="148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№0358200000517000115-1 на участие в электронном аукционе подано 11 заявок. Комиссией Заказчика принято решение об отказе в допуске к участию в аукционе участникам закупки №№ 5,6,8,9,11.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40" w:right="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электронного аукциона от 02.11.2017 №0358200000517000115-3 победителем аукциона признано ООО «Формула Успеха» с ценовым предложением 1 726 700,00 руб. Заявки участников закупки №№ 7, 10 отклонены. Контракт с победителем аукциона заключен от 13.11.2017 № 115/17.</w:t>
      </w:r>
    </w:p>
    <w:p>
      <w:pPr>
        <w:pStyle w:val="Style12"/>
        <w:numPr>
          <w:ilvl w:val="0"/>
          <w:numId w:val="5"/>
        </w:numPr>
        <w:tabs>
          <w:tab w:leader="none" w:pos="112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93" w:line="226" w:lineRule="exact"/>
        <w:ind w:left="240" w:right="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4 ст. 67 Закона участник электронного аукциона не допускается к участию в нем в случае:</w:t>
      </w:r>
    </w:p>
    <w:p>
      <w:pPr>
        <w:pStyle w:val="Style12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40" w:right="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>
      <w:pPr>
        <w:pStyle w:val="Style12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240" w:right="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45" w:lineRule="exact"/>
        <w:ind w:left="240" w:right="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 5 ст. 67 Закона отказ в допуске к участию в электронном аукционе по основаниям, не предусмотренным ч. 4 настоящей статьи, не допускается.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101" w:line="226" w:lineRule="exact"/>
        <w:ind w:left="240" w:right="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Аукционной комиссией Заказчика принято решение об отказе в допуске Заявителю на основании п, 1 ч. 4 ст. 67 Закона,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40" w:right="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Разделом II документации об аукционе является «Техническое задание», которым установлены требования к техническим и качественным характеристикам товаров (материалов), используемых при производстве работ.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196" w:line="220" w:lineRule="exact"/>
        <w:ind w:left="24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Техническое задание содержало следующие требования:</w:t>
      </w:r>
    </w:p>
    <w:tbl>
      <w:tblPr>
        <w:tblOverlap w:val="never"/>
        <w:tblLayout w:type="fixed"/>
        <w:jc w:val="center"/>
      </w:tblPr>
      <w:tblGrid>
        <w:gridCol w:w="2947"/>
        <w:gridCol w:w="7128"/>
      </w:tblGrid>
      <w:tr>
        <w:trPr>
          <w:trHeight w:val="398" w:hRule="exact"/>
        </w:trPr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12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40" w:right="0" w:firstLine="0"/>
            </w:pPr>
            <w:r>
              <w:rPr>
                <w:rStyle w:val="CharStyle20"/>
              </w:rPr>
              <w:t>1 Саморез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2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0"/>
              </w:rPr>
              <w:t>Требуется кровельный саморез, шестигранная головка с шайбой,</w:t>
            </w:r>
          </w:p>
        </w:tc>
      </w:tr>
      <w:tr>
        <w:trPr>
          <w:trHeight w:val="274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12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0"/>
                <w:lang w:val="en-US" w:eastAsia="en-US" w:bidi="en-US"/>
              </w:rPr>
              <w:t xml:space="preserve">EPDM </w:t>
            </w:r>
            <w:r>
              <w:rPr>
                <w:rStyle w:val="CharStyle20"/>
              </w:rPr>
              <w:t>прокладкой, наконечник сверло, оцинкованный,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12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0"/>
              </w:rPr>
              <w:t>окрашенный. Должен быть размером 5,5х38\5,5х51. Размеры: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12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0"/>
              </w:rPr>
              <w:t>К (высота головки в диапазоне): 5,25-5,40 мм.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12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0"/>
                <w:lang w:val="en-US" w:eastAsia="en-US" w:bidi="en-US"/>
              </w:rPr>
              <w:t xml:space="preserve">D </w:t>
            </w:r>
            <w:r>
              <w:rPr>
                <w:rStyle w:val="CharStyle20"/>
              </w:rPr>
              <w:t>(наружный диаметр, диапазон): 5,28-5,46 мм.</w:t>
            </w:r>
          </w:p>
        </w:tc>
      </w:tr>
      <w:tr>
        <w:trPr>
          <w:trHeight w:val="269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12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0"/>
                <w:lang w:val="en-US" w:eastAsia="en-US" w:bidi="en-US"/>
              </w:rPr>
              <w:t xml:space="preserve">S </w:t>
            </w:r>
            <w:r>
              <w:rPr>
                <w:rStyle w:val="CharStyle20"/>
              </w:rPr>
              <w:t>(размер под ключ, диапазон): 7,78-8,00 мм.</w:t>
            </w:r>
          </w:p>
        </w:tc>
      </w:tr>
      <w:tr>
        <w:trPr>
          <w:trHeight w:val="336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7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top"/>
          </w:tcPr>
          <w:p>
            <w:pPr>
              <w:pStyle w:val="Style12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0"/>
                <w:lang w:val="en-US" w:eastAsia="en-US" w:bidi="en-US"/>
              </w:rPr>
              <w:t xml:space="preserve">L </w:t>
            </w:r>
            <w:r>
              <w:rPr>
                <w:rStyle w:val="CharStyle20"/>
              </w:rPr>
              <w:t>(длина в диапазоне): 36,75-52,25 мм.</w:t>
            </w:r>
          </w:p>
        </w:tc>
      </w:tr>
    </w:tbl>
    <w:p>
      <w:pPr>
        <w:widowControl w:val="0"/>
        <w:spacing w:line="120" w:lineRule="exact"/>
        <w:rPr>
          <w:sz w:val="2"/>
          <w:szCs w:val="2"/>
        </w:rPr>
      </w:pPr>
    </w:p>
    <w:p>
      <w:pPr>
        <w:pStyle w:val="Style21"/>
        <w:framePr w:w="10066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Заявителем указана следующая информация относительно требуемого товара:</w:t>
      </w:r>
    </w:p>
    <w:tbl>
      <w:tblPr>
        <w:tblOverlap w:val="never"/>
        <w:tblLayout w:type="fixed"/>
        <w:jc w:val="center"/>
      </w:tblPr>
      <w:tblGrid>
        <w:gridCol w:w="2942"/>
        <w:gridCol w:w="7123"/>
      </w:tblGrid>
      <w:tr>
        <w:trPr>
          <w:trHeight w:val="42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100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60" w:right="0" w:firstLine="0"/>
            </w:pPr>
            <w:r>
              <w:rPr>
                <w:rStyle w:val="CharStyle23"/>
              </w:rPr>
              <w:t>Саморез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2"/>
              <w:framePr w:w="100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0"/>
              </w:rPr>
              <w:t xml:space="preserve">Кровельный саморез, шестигранная головка с шайбой, </w:t>
            </w:r>
            <w:r>
              <w:rPr>
                <w:rStyle w:val="CharStyle20"/>
                <w:lang w:val="en-US" w:eastAsia="en-US" w:bidi="en-US"/>
              </w:rPr>
              <w:t>EPDM</w:t>
            </w:r>
          </w:p>
        </w:tc>
      </w:tr>
      <w:tr>
        <w:trPr>
          <w:trHeight w:val="274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12"/>
              <w:framePr w:w="100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0"/>
              </w:rPr>
              <w:t>прокладкой, наконечник сверло, оцинкованный, окрашенный.</w:t>
            </w:r>
          </w:p>
        </w:tc>
      </w:tr>
      <w:tr>
        <w:trPr>
          <w:trHeight w:val="264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12"/>
              <w:framePr w:w="100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0"/>
              </w:rPr>
              <w:t xml:space="preserve">размером </w:t>
            </w:r>
            <w:r>
              <w:rPr>
                <w:rStyle w:val="CharStyle20"/>
                <w:lang w:val="en-US" w:eastAsia="en-US" w:bidi="en-US"/>
              </w:rPr>
              <w:t xml:space="preserve">5,5x51 </w:t>
            </w:r>
            <w:r>
              <w:rPr>
                <w:rStyle w:val="CharStyle20"/>
              </w:rPr>
              <w:t>мм. Размеры:</w:t>
            </w:r>
          </w:p>
        </w:tc>
      </w:tr>
      <w:tr>
        <w:trPr>
          <w:trHeight w:val="264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12"/>
              <w:framePr w:w="100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0"/>
              </w:rPr>
              <w:t>К (высота головки в диапазоне): 5,25-5,40 мм.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12"/>
              <w:framePr w:w="100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0"/>
                <w:lang w:val="en-US" w:eastAsia="en-US" w:bidi="en-US"/>
              </w:rPr>
              <w:t xml:space="preserve">D </w:t>
            </w:r>
            <w:r>
              <w:rPr>
                <w:rStyle w:val="CharStyle20"/>
              </w:rPr>
              <w:t>(наружный диаметр, диапазон): 5,28-5,46 мм.</w:t>
            </w:r>
          </w:p>
        </w:tc>
      </w:tr>
      <w:tr>
        <w:trPr>
          <w:trHeight w:val="269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12"/>
              <w:framePr w:w="100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0"/>
                <w:lang w:val="en-US" w:eastAsia="en-US" w:bidi="en-US"/>
              </w:rPr>
              <w:t xml:space="preserve">S </w:t>
            </w:r>
            <w:r>
              <w:rPr>
                <w:rStyle w:val="CharStyle20"/>
              </w:rPr>
              <w:t>(размер под ключ, диапазон): 7,78-8,00 мм.</w:t>
            </w:r>
          </w:p>
        </w:tc>
      </w:tr>
      <w:tr>
        <w:trPr>
          <w:trHeight w:val="365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06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top"/>
          </w:tcPr>
          <w:p>
            <w:pPr>
              <w:pStyle w:val="Style12"/>
              <w:framePr w:w="1006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0"/>
                <w:lang w:val="en-US" w:eastAsia="en-US" w:bidi="en-US"/>
              </w:rPr>
              <w:t xml:space="preserve">L </w:t>
            </w:r>
            <w:r>
              <w:rPr>
                <w:rStyle w:val="CharStyle20"/>
              </w:rPr>
              <w:t xml:space="preserve">(длина в диапазоне): 36.75-52.25 </w:t>
            </w:r>
            <w:r>
              <w:rPr>
                <w:rStyle w:val="CharStyle24"/>
              </w:rPr>
              <w:t>мм.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167" w:after="0" w:line="259" w:lineRule="exact"/>
        <w:ind w:left="80" w:right="2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 указывает, что предложенное Заявителем значение длины самореза не соответствует действительности. Согласно информации на сайтах поставщиков значение длины самореза с обозначением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5,5x51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мм составляет 49,75-52,25 мм.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80" w:right="2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Ростовского УФАС России считает отклонение заявки Заявителя аукционной комиссией Заказчика необоснованным ввиду следующего.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8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инструкции по заполнению заявки на участие в аукционе:</w:t>
      </w:r>
    </w:p>
    <w:p>
      <w:pPr>
        <w:pStyle w:val="Style12"/>
        <w:numPr>
          <w:ilvl w:val="0"/>
          <w:numId w:val="9"/>
        </w:numPr>
        <w:tabs>
          <w:tab w:leader="none" w:pos="9210" w:val="center"/>
          <w:tab w:leader="none" w:pos="1004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80" w:right="2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Если в описании объекта закупки устанавливается диапазонный" показатель (содержится слово «диапазон» или «в диапазоне»), участником должен быть предложен товар (материал) со значением диапазона, равного или входящего в установленный;</w:t>
        <w:tab/>
        <w:t>материал)</w:t>
        <w:tab/>
        <w:t>со</w:t>
      </w:r>
    </w:p>
    <w:p>
      <w:pPr>
        <w:pStyle w:val="Style12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45" w:lineRule="exact"/>
        <w:ind w:left="80" w:right="2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Важно отметить, что в случаях, когда требуется соответствие товара (материала оборудования) нормам стандартизирующего документа участник в своей заявке обязан предоставить характеристики, в полном объеме соответствующие нормам стандарта с учетом особенностей настоящей инструкции.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80" w:right="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Заявителем согласно инструкции по заполнению заявки указано диапазонное значение длины самореза равное значению, установленному в техническом задании.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80" w:right="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этом, соответствие товара (материала, оборудования) нормам стандартизирующего документа по товару «Саморез» Заказчиком не установлено.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80" w:right="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1 ст. 67 Закона аукционная комиссия проверяет первые части заявок на участие в электронном аукционе,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80" w:right="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Проверка заявки на соответствие каким-либо сайтам в сети Интернет Законом не предусмотрена. У хозяйствующих субъектов нет обязанности размещать информацию о производимых ими товарах на каких-либо сайтах. Кроме того, указанная информация, размещенная на сайте производителя или продавца, на момент ее рассмотрения может быть уже не актуальна. Характеристики товаров, указанные, в том числе и на сайтах производителей данного товара, могут быть изменены без предварительного уведомления потенциальных покупателей вследствие изменившейся потребности рынка в отношении данного товара либо производственной необходимости.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45" w:lineRule="exact"/>
        <w:ind w:left="80" w:right="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Аналогичная правовая позиция изложена в Постановлении ФАС Восточно-Сибирского округа от 05.09.2013 года по делу № А74-5765/2012.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80" w:right="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заявка Заявителя соответствует требованиям Закона и положениям документации об аукционе.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80" w:right="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Аукционная комиссия Заказчика, отказывая Заявителю в допуске к участию в электронном аукционе, нарушила ч. 5 ст.67 Закона.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80" w:right="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по аналогичным основаниям неправомерно отклонены заявки иных участников закупки.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80" w:right="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жалобы является обоснованным.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80" w:right="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2. При проведении внеплановой проверки Комиссией Ростовского УФАС России установлено следующее.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80" w:right="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7 ст. 106 Закона контрольный орган в сфере закупок вправе приостановить определение поставщика (подрядчика, исполнителя) в части заключения контракта до рассмотрения жалобы по существу, направив заказчику, оператору электронной площадки требование о приостановлении определения поставщика (подрядчика, исполнителя) в части заключения контракта до рассмотрения жалобы по существу, которое является для них обязательным. В случае принятия решения о приостановлении определения поставщика (подрядчика, исполнителя) контракт не может быть заключен до рассмотрения жалобы по существу.</w:t>
      </w:r>
    </w:p>
    <w:p>
      <w:pPr>
        <w:pStyle w:val="Style12"/>
        <w:numPr>
          <w:ilvl w:val="0"/>
          <w:numId w:val="11"/>
        </w:numPr>
        <w:tabs>
          <w:tab w:leader="none" w:pos="188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80" w:right="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Ростовским УФАС России Заказчику, оператору электронной площадки направлено требование о приостановлении определения поставщика (подрядчика, исполнителя) в части заключения контракта до рассмотрения жалобы по существу.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80" w:right="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Однако в нарушение требования Ростовского УФАС России о приостановлении определения поставщика (подрядчика, исполнителя) в части заключения контракта до рассмотрения жалобы по существу, Заказчик 13.11.2017 заключил контракт с ООО «Формула Успеха».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80" w:right="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Тем самым, Заказчик нарушил ч. 7 ст. 106 Закона,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87" w:line="269" w:lineRule="exact"/>
        <w:ind w:left="80" w:right="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Комиссия Ростовского УФАС России, руководствуясь Постановлением Правительства РФ от 26.08.2013г. № 728, ч. 15 ст. 99, ч. 8 ст. 106 Закона,</w:t>
      </w:r>
    </w:p>
    <w:p>
      <w:pPr>
        <w:pStyle w:val="Style25"/>
        <w:widowControl w:val="0"/>
        <w:keepNext/>
        <w:keepLines/>
        <w:shd w:val="clear" w:color="auto" w:fill="auto"/>
        <w:bidi w:val="0"/>
        <w:jc w:val="left"/>
        <w:spacing w:before="0" w:after="175" w:line="210" w:lineRule="exact"/>
        <w:ind w:left="470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2"/>
    </w:p>
    <w:p>
      <w:pPr>
        <w:pStyle w:val="Style12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80" w:right="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ИП Лукаш А.В. обоснованной.</w:t>
      </w:r>
    </w:p>
    <w:p>
      <w:pPr>
        <w:pStyle w:val="Style12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80" w:right="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нарушившим ч. 7 ст. 106 Закона.</w:t>
      </w:r>
    </w:p>
    <w:p>
      <w:pPr>
        <w:pStyle w:val="Style12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80" w:right="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аукционную комиссию Заказчика нарушившей ч. 5 ст. 67 Закона.</w:t>
      </w:r>
    </w:p>
    <w:p>
      <w:pPr>
        <w:pStyle w:val="Style12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3" w:line="206" w:lineRule="exact"/>
        <w:ind w:left="80" w:right="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Предписание об устранении нарушений законодательства о контрактной системе не выдавать ввиду заключения контракта.</w:t>
      </w:r>
    </w:p>
    <w:p>
      <w:pPr>
        <w:pStyle w:val="Style12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" w:right="60" w:firstLine="520"/>
        <w:sectPr>
          <w:type w:val="continuous"/>
          <w:pgSz w:w="11906" w:h="16838"/>
          <w:pgMar w:top="977" w:left="865" w:right="783" w:bottom="73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Рассмотреть вопрос о привлечении к административной ответственности должностного лица Заказчика, членов аукционной комиссии Заказчика.</w:t>
      </w:r>
    </w:p>
    <w:p>
      <w:pPr>
        <w:pStyle w:val="Style12"/>
        <w:framePr w:h="210" w:vSpace="606" w:wrap="around" w:vAnchor="text" w:hAnchor="margin" w:x="8318" w:y="95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4"/>
          <w:spacing w:val="0"/>
        </w:rPr>
        <w:t>Н.А. Кожемяко</w:t>
      </w:r>
    </w:p>
    <w:p>
      <w:pPr>
        <w:widowControl w:val="0"/>
        <w:rPr>
          <w:sz w:val="2"/>
          <w:szCs w:val="2"/>
        </w:rPr>
      </w:pP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 9 ст. 106 Закона решение, обжаловано в судебном порядке в течение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816" w:lineRule="exact"/>
        <w:ind w:left="7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Члены Комиссии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принятое по результатам рассмотрения жалобы по существу, может быть трех месяцев с даты его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31"/>
          <w:b/>
          <w:bCs/>
        </w:rPr>
        <w:t xml:space="preserve">О,А, Изварина </w:t>
      </w:r>
      <w:r>
        <w:rPr>
          <w:rStyle w:val="CharStyle32"/>
          <w:b w:val="0"/>
          <w:bCs w:val="0"/>
        </w:rPr>
        <w:t>А.И. Пахальян</w:t>
      </w:r>
    </w:p>
    <w:sectPr>
      <w:pgSz w:w="11906" w:h="16838"/>
      <w:pgMar w:top="1535" w:left="958" w:right="958" w:bottom="12273" w:header="0" w:footer="3" w:gutter="0"/>
      <w:rtlGutter w:val="0"/>
      <w:cols w:num="2" w:space="720" w:equalWidth="0">
        <w:col w:w="3555" w:space="102"/>
        <w:col w:w="6331"/>
      </w:cols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22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30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2017"/>
      <w:numFmt w:val="decimal"/>
      <w:lvlText w:val="09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Заголовок №2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9">
    <w:name w:val="Основной текст (3)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15">
    <w:name w:val="Основной текст Exact"/>
    <w:basedOn w:val="CharStyle13"/>
    <w:rPr>
      <w:lang w:val="ru-RU" w:eastAsia="ru-RU" w:bidi="ru-RU"/>
      <w:sz w:val="21"/>
      <w:szCs w:val="21"/>
      <w:w w:val="100"/>
      <w:spacing w:val="4"/>
      <w:color w:val="000000"/>
      <w:position w:val="0"/>
    </w:rPr>
  </w:style>
  <w:style w:type="character" w:customStyle="1" w:styleId="CharStyle17">
    <w:name w:val="Заголовок №1_"/>
    <w:basedOn w:val="DefaultParagraphFont"/>
    <w:link w:val="Style16"/>
    <w:rPr>
      <w:b w:val="0"/>
      <w:bCs w:val="0"/>
      <w:i/>
      <w:iCs/>
      <w:u w:val="none"/>
      <w:strike w:val="0"/>
      <w:smallCaps w:val="0"/>
      <w:rFonts w:ascii="Impact" w:eastAsia="Impact" w:hAnsi="Impact" w:cs="Impact"/>
      <w:spacing w:val="-10"/>
    </w:rPr>
  </w:style>
  <w:style w:type="character" w:customStyle="1" w:styleId="CharStyle18">
    <w:name w:val="Заголовок №1"/>
    <w:basedOn w:val="CharStyle17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9">
    <w:name w:val="Заголовок №1"/>
    <w:basedOn w:val="CharStyle17"/>
    <w:rPr>
      <w:lang w:val="ru-RU" w:eastAsia="ru-RU" w:bidi="ru-RU"/>
      <w:u w:val="single"/>
      <w:sz w:val="24"/>
      <w:szCs w:val="24"/>
      <w:w w:val="100"/>
      <w:color w:val="000000"/>
      <w:position w:val="0"/>
    </w:rPr>
  </w:style>
  <w:style w:type="character" w:customStyle="1" w:styleId="CharStyle20">
    <w:name w:val="Основной текст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Подпись к таблице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3">
    <w:name w:val="Основной текст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 + 10,5 pt"/>
    <w:basedOn w:val="CharStyle13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26">
    <w:name w:val="Заголовок №3_"/>
    <w:basedOn w:val="DefaultParagraphFont"/>
    <w:link w:val="Style2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8">
    <w:name w:val="Основной текст (5)_"/>
    <w:basedOn w:val="DefaultParagraphFont"/>
    <w:link w:val="Style27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30">
    <w:name w:val="Основной текст (6)_"/>
    <w:basedOn w:val="DefaultParagraphFont"/>
    <w:link w:val="Style29"/>
    <w:rPr>
      <w:b/>
      <w:bCs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20"/>
    </w:rPr>
  </w:style>
  <w:style w:type="character" w:customStyle="1" w:styleId="CharStyle31">
    <w:name w:val="Основной текст (6)"/>
    <w:basedOn w:val="CharStyle30"/>
    <w:rPr>
      <w:lang w:val="ru-RU" w:eastAsia="ru-RU" w:bidi="ru-RU"/>
      <w:w w:val="100"/>
      <w:color w:val="000000"/>
      <w:position w:val="0"/>
    </w:rPr>
  </w:style>
  <w:style w:type="character" w:customStyle="1" w:styleId="CharStyle32">
    <w:name w:val="Основной текст (6) + Microsoft Sans Serif,10 pt,Не полужирный,Интервал 0 pt"/>
    <w:basedOn w:val="CharStyle30"/>
    <w:rPr>
      <w:lang w:val="ru-RU" w:eastAsia="ru-RU" w:bidi="ru-RU"/>
      <w:b/>
      <w:bCs/>
      <w:sz w:val="20"/>
      <w:szCs w:val="20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00" w:after="300" w:line="254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Заголовок №2"/>
    <w:basedOn w:val="Normal"/>
    <w:link w:val="CharStyle6"/>
    <w:pPr>
      <w:widowControl w:val="0"/>
      <w:shd w:val="clear" w:color="auto" w:fill="FFFFFF"/>
      <w:jc w:val="center"/>
      <w:outlineLvl w:val="1"/>
      <w:spacing w:before="300" w:after="60" w:line="29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line="20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right"/>
      <w:spacing w:after="30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jc w:val="right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jc w:val="both"/>
      <w:outlineLvl w:val="0"/>
      <w:spacing w:line="0" w:lineRule="exact"/>
    </w:pPr>
    <w:rPr>
      <w:b w:val="0"/>
      <w:bCs w:val="0"/>
      <w:i/>
      <w:iCs/>
      <w:u w:val="none"/>
      <w:strike w:val="0"/>
      <w:smallCaps w:val="0"/>
      <w:rFonts w:ascii="Impact" w:eastAsia="Impact" w:hAnsi="Impact" w:cs="Impact"/>
      <w:spacing w:val="-10"/>
    </w:rPr>
  </w:style>
  <w:style w:type="paragraph" w:customStyle="1" w:styleId="Style21">
    <w:name w:val="Подпись к таблице"/>
    <w:basedOn w:val="Normal"/>
    <w:link w:val="CharStyle2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5">
    <w:name w:val="Заголовок №3"/>
    <w:basedOn w:val="Normal"/>
    <w:link w:val="CharStyle26"/>
    <w:pPr>
      <w:widowControl w:val="0"/>
      <w:shd w:val="clear" w:color="auto" w:fill="FFFFFF"/>
      <w:outlineLvl w:val="2"/>
      <w:spacing w:before="240" w:after="24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7">
    <w:name w:val="Основной текст (5)"/>
    <w:basedOn w:val="Normal"/>
    <w:link w:val="CharStyle28"/>
    <w:pPr>
      <w:widowControl w:val="0"/>
      <w:shd w:val="clear" w:color="auto" w:fill="FFFFFF"/>
      <w:jc w:val="right"/>
      <w:spacing w:after="420" w:line="24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29">
    <w:name w:val="Основной текст (6)"/>
    <w:basedOn w:val="Normal"/>
    <w:link w:val="CharStyle30"/>
    <w:pPr>
      <w:widowControl w:val="0"/>
      <w:shd w:val="clear" w:color="auto" w:fill="FFFFFF"/>
      <w:jc w:val="both"/>
      <w:spacing w:before="300" w:line="826" w:lineRule="exact"/>
    </w:pPr>
    <w:rPr>
      <w:b/>
      <w:bCs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