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0" w:y="1290"/>
        <w:widowControl w:val="0"/>
        <w:keepNext w:val="0"/>
        <w:keepLines w:val="0"/>
        <w:shd w:val="clear" w:color="auto" w:fill="auto"/>
        <w:bidi w:val="0"/>
        <w:spacing w:before="0" w:after="180"/>
        <w:ind w:left="0" w:right="0" w:firstLine="0"/>
      </w:pPr>
      <w:r>
        <w:rPr>
          <w:rStyle w:val="CharStyle4"/>
          <w:b/>
          <w:bCs/>
          <w:spacing w:val="0"/>
        </w:rPr>
        <w:t>ФЕДЕРАЛЬНАЯ АНТИМОНОПОЛЬНАЯ СЛУЖБА</w:t>
      </w:r>
    </w:p>
    <w:p>
      <w:pPr>
        <w:pStyle w:val="Style3"/>
        <w:framePr w:w="4835" w:h="2350" w:wrap="around" w:hAnchor="margin" w:x="-30" w:y="1290"/>
        <w:widowControl w:val="0"/>
        <w:keepNext w:val="0"/>
        <w:keepLines w:val="0"/>
        <w:shd w:val="clear" w:color="auto" w:fill="auto"/>
        <w:bidi w:val="0"/>
        <w:spacing w:before="0" w:after="0"/>
        <w:ind w:left="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835" w:h="2350" w:wrap="around" w:hAnchor="margin" w:x="-30" w:y="1290"/>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83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240" w:firstLine="0"/>
      </w:pPr>
      <w:r>
        <w:rPr>
          <w:lang w:val="ru-RU" w:eastAsia="ru-RU" w:bidi="ru-RU"/>
          <w:w w:val="100"/>
          <w:spacing w:val="0"/>
          <w:color w:val="000000"/>
          <w:position w:val="0"/>
        </w:rPr>
        <w:t>Филиал Федерального казенного учреждения здравоохранения «Санаторий «Алупка» Министерства внутренних дел Российской Федерации» «Дружба»</w:t>
      </w:r>
    </w:p>
    <w:p>
      <w:pPr>
        <w:pStyle w:val="Style7"/>
        <w:framePr w:h="245" w:wrap="around" w:vAnchor="text" w:hAnchor="margin" w:x="-69" w:y="116"/>
        <w:widowControl w:val="0"/>
        <w:keepNext w:val="0"/>
        <w:keepLines w:val="0"/>
        <w:shd w:val="clear" w:color="auto" w:fill="auto"/>
        <w:bidi w:val="0"/>
        <w:jc w:val="left"/>
        <w:spacing w:before="0" w:after="0" w:line="240" w:lineRule="exact"/>
        <w:ind w:left="0" w:right="0" w:firstLine="0"/>
      </w:pPr>
      <w:r>
        <w:rPr>
          <w:rStyle w:val="CharStyle8"/>
          <w:spacing w:val="0"/>
        </w:rPr>
        <w:t>01.11.2017 № 06/12520</w:t>
      </w:r>
    </w:p>
    <w:p>
      <w:pPr>
        <w:pStyle w:val="Style7"/>
        <w:framePr w:h="240" w:wrap="around" w:vAnchor="text" w:hAnchor="margin" w:x="-78" w:y="683"/>
        <w:widowControl w:val="0"/>
        <w:keepNext w:val="0"/>
        <w:keepLines w:val="0"/>
        <w:shd w:val="clear" w:color="auto" w:fill="auto"/>
        <w:bidi w:val="0"/>
        <w:jc w:val="left"/>
        <w:spacing w:before="0" w:after="0" w:line="240" w:lineRule="exact"/>
        <w:ind w:left="0" w:right="0" w:firstLine="0"/>
      </w:pPr>
      <w:r>
        <w:rPr>
          <w:rStyle w:val="CharStyle8"/>
          <w:spacing w:val="0"/>
        </w:rPr>
        <w:t>На № 89 от 24.10.2017</w:t>
      </w:r>
    </w:p>
    <w:p>
      <w:pPr>
        <w:pStyle w:val="Style7"/>
        <w:widowControl w:val="0"/>
        <w:keepNext w:val="0"/>
        <w:keepLines w:val="0"/>
        <w:shd w:val="clear" w:color="auto" w:fill="auto"/>
        <w:bidi w:val="0"/>
        <w:jc w:val="center"/>
        <w:spacing w:before="0" w:after="60"/>
        <w:ind w:left="0" w:right="340" w:firstLine="0"/>
      </w:pPr>
      <w:r>
        <w:rPr>
          <w:lang w:val="ru-RU" w:eastAsia="ru-RU" w:bidi="ru-RU"/>
          <w:w w:val="100"/>
          <w:spacing w:val="0"/>
          <w:color w:val="000000"/>
          <w:position w:val="0"/>
        </w:rPr>
        <w:t>298500, Республика Крым, г. Алушта, ул. Чатырдагская, д. 1</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900" w:firstLine="0"/>
      </w:pPr>
      <w:r>
        <w:rPr>
          <w:lang w:val="ru-RU" w:eastAsia="ru-RU" w:bidi="ru-RU"/>
          <w:w w:val="100"/>
          <w:spacing w:val="0"/>
          <w:color w:val="000000"/>
          <w:position w:val="0"/>
        </w:rPr>
        <w:t>Общество с ограниченной ответственностью «СДС»</w:t>
      </w:r>
    </w:p>
    <w:p>
      <w:pPr>
        <w:pStyle w:val="Style7"/>
        <w:widowControl w:val="0"/>
        <w:keepNext w:val="0"/>
        <w:keepLines w:val="0"/>
        <w:shd w:val="clear" w:color="auto" w:fill="auto"/>
        <w:bidi w:val="0"/>
        <w:jc w:val="left"/>
        <w:spacing w:before="0" w:after="289"/>
        <w:ind w:left="4980" w:right="900" w:firstLine="0"/>
      </w:pPr>
      <w:r>
        <w:rPr>
          <w:lang w:val="ru-RU" w:eastAsia="ru-RU" w:bidi="ru-RU"/>
          <w:w w:val="100"/>
          <w:spacing w:val="0"/>
          <w:color w:val="000000"/>
          <w:position w:val="0"/>
        </w:rPr>
        <w:t>183050, г. Мурманск, ул. Петровского, д. 2</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900" w:firstLine="0"/>
      </w:pPr>
      <w:r>
        <w:rPr>
          <w:lang w:val="ru-RU" w:eastAsia="ru-RU" w:bidi="ru-RU"/>
          <w:w w:val="100"/>
          <w:spacing w:val="0"/>
          <w:color w:val="000000"/>
          <w:position w:val="0"/>
        </w:rPr>
        <w:t>ОАО «Единая Электронная Торговая Площадка» ОАО «ЕЭТП»</w:t>
      </w:r>
    </w:p>
    <w:p>
      <w:pPr>
        <w:pStyle w:val="Style7"/>
        <w:widowControl w:val="0"/>
        <w:keepNext w:val="0"/>
        <w:keepLines w:val="0"/>
        <w:shd w:val="clear" w:color="auto" w:fill="auto"/>
        <w:bidi w:val="0"/>
        <w:jc w:val="left"/>
        <w:spacing w:before="0" w:after="240"/>
        <w:ind w:left="4980" w:right="90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289"/>
        <w:ind w:left="40" w:right="0" w:firstLine="0"/>
      </w:pPr>
      <w:r>
        <w:rPr>
          <w:lang w:val="ru-RU" w:eastAsia="ru-RU" w:bidi="ru-RU"/>
          <w:w w:val="100"/>
          <w:spacing w:val="0"/>
          <w:color w:val="000000"/>
          <w:position w:val="0"/>
        </w:rPr>
        <w:t>Решение по делу №06/4090-17 о нарушении законодательства Российской Федерации о контрактной системе в сфере закупок</w:t>
      </w:r>
    </w:p>
    <w:p>
      <w:pPr>
        <w:pStyle w:val="Style7"/>
        <w:numPr>
          <w:ilvl w:val="0"/>
          <w:numId w:val="3"/>
        </w:numPr>
        <w:tabs>
          <w:tab w:leader="none" w:pos="8030" w:val="left"/>
          <w:tab w:leader="none" w:pos="8075"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представителей интересов Заказчика А. К. Дишко (по доверенности), М. М. Перетятько (по доверенности),</w:t>
      </w:r>
      <w:r>
        <w:br w:type="page"/>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от 24.10.2017 № 89 (вх. №4672/09 от 25.10.2017) на действия Аукционной комиссии Заказчика при проведении электронного аукциона «Капитальный ремонт ограждения территории муниципального общеобразовательного учреждения города Джанкоя Республики Крым "Средняя школа №4" по ул.Титова, 45 в г.Джанкое» (номер извещения 0875100004917000017)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5"/>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7"/>
        <w:numPr>
          <w:ilvl w:val="0"/>
          <w:numId w:val="7"/>
        </w:numPr>
        <w:widowControl w:val="0"/>
        <w:keepNext w:val="0"/>
        <w:keepLines w:val="0"/>
        <w:shd w:val="clear" w:color="auto" w:fill="auto"/>
        <w:bidi w:val="0"/>
        <w:jc w:val="both"/>
        <w:spacing w:before="0" w:after="109"/>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left"/>
        <w:spacing w:before="0" w:after="193"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Аукционной комиссии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Аукционной комиссии Заказчика, необоснованно отказавшей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25.10.2017 №06/12137,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об осуществлении закупки размещено на официальном сайте — 14.09.2017, изменения - 25.09.2017;</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- 15 900 381,00 рублей;</w:t>
      </w:r>
    </w:p>
    <w:p>
      <w:pPr>
        <w:pStyle w:val="Style7"/>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дата и время окончания подачи заявок: 11.10.2017 06:00, дата окончания срока рассмотрения первых частей заявок участников: 17.10.2017, дата проведения Аукциона: 20.10.2017;</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7 заявки, из них по результатам рассмотрения первых частей заявок участников 2 заявки признаны не соответствующими документации об Аукционе и Закону о контрактной системе - заявка под номером «7» (Заявитель);</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3 участника, снижение от начальной (максимальной) цены контракта составило 8,81%;</w:t>
      </w:r>
    </w:p>
    <w:p>
      <w:pPr>
        <w:pStyle w:val="Style7"/>
        <w:numPr>
          <w:ilvl w:val="0"/>
          <w:numId w:val="9"/>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победителем Аукциона признано ООО «Строительно - монтажное управление «ИнвестЖилСтрой» с предложенной ценой контракта 14 500 000,00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Аукционная комиссия Заказчика необоснованно отказала Заявителю в допуске к участию в Аукционе по итогам рассмотрения первых частей заявок участников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Порядок рассмотрения первых частей заявок на участие в электронном аукционе определен статьей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требованиями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 и по результатам рассмотрения первых частей заявок на участие в электронном аукционе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 (часть 3 статьи 67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w:t>
        <w:br w:type="page"/>
        <w:t>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непредоставления информации, предусмотренной частью 3 статьи 66 Закона о контрактной системе, или предоставления недостоверной информации;</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5 статьи 67 Закона о контрактной системе установлено, что аукционная комиссия не имеет права отказать участнику в допуске к участию в электронном аукционе по основаниям, не предусмотренным частью 4 статьи 67 Закона о контрактной системе.</w:t>
      </w:r>
    </w:p>
    <w:p>
      <w:pPr>
        <w:pStyle w:val="Style7"/>
        <w:widowControl w:val="0"/>
        <w:keepNext w:val="0"/>
        <w:keepLines w:val="0"/>
        <w:shd w:val="clear" w:color="auto" w:fill="auto"/>
        <w:bidi w:val="0"/>
        <w:jc w:val="both"/>
        <w:spacing w:before="0" w:after="0"/>
        <w:ind w:left="20" w:right="20" w:firstLine="700"/>
        <w:sectPr>
          <w:footnotePr>
            <w:pos w:val="pageBottom"/>
            <w:numFmt w:val="decimal"/>
            <w:numRestart w:val="continuous"/>
          </w:footnotePr>
          <w:type w:val="continuous"/>
          <w:pgSz w:w="11906" w:h="16838"/>
          <w:pgMar w:top="1492" w:left="922" w:right="764" w:bottom="863" w:header="0" w:footer="3" w:gutter="0"/>
          <w:rtlGutter w:val="0"/>
          <w:cols w:space="720"/>
          <w:noEndnote/>
          <w:docGrid w:linePitch="360"/>
        </w:sectPr>
      </w:pPr>
      <w:r>
        <w:rPr>
          <w:lang w:val="ru-RU" w:eastAsia="ru-RU" w:bidi="ru-RU"/>
          <w:w w:val="100"/>
          <w:spacing w:val="0"/>
          <w:color w:val="000000"/>
          <w:position w:val="0"/>
        </w:rPr>
        <w:t xml:space="preserve">В соответствии с протоколом рассмотрения заявок на участие в электронном аукционе от 17.10.2017 № 0875100004917000017-1 закупки с порядковым номером </w:t>
      </w:r>
      <w:r>
        <w:rPr>
          <w:rStyle w:val="CharStyle12"/>
        </w:rPr>
        <w:t xml:space="preserve">заявки «7» (Заявитель) отказано в допуске к участию в Аукционе по причине: </w:t>
      </w:r>
      <w:r>
        <w:rPr>
          <w:rStyle w:val="CharStyle13"/>
        </w:rPr>
        <w:t>«...</w:t>
      </w:r>
    </w:p>
    <w:p>
      <w:pPr>
        <w:pStyle w:val="Style14"/>
        <w:framePr w:w="464" w:h="160" w:wrap="none" w:vAnchor="text" w:hAnchor="margin" w:x="1636" w:y="2177"/>
        <w:widowControl w:val="0"/>
        <w:keepNext w:val="0"/>
        <w:keepLines w:val="0"/>
        <w:shd w:val="clear" w:color="auto" w:fill="auto"/>
        <w:bidi w:val="0"/>
        <w:jc w:val="left"/>
        <w:spacing w:before="0" w:after="0" w:line="160" w:lineRule="exact"/>
        <w:ind w:left="100" w:right="0" w:firstLine="0"/>
      </w:pPr>
      <w:r>
        <w:rPr>
          <w:rStyle w:val="CharStyle15"/>
          <w:spacing w:val="0"/>
        </w:rPr>
        <w:t>№7</w:t>
      </w:r>
    </w:p>
    <w:p>
      <w:pPr>
        <w:pStyle w:val="Style14"/>
        <w:framePr w:w="1659" w:h="166" w:wrap="none" w:vAnchor="text" w:hAnchor="margin" w:x="2740" w:y="2177"/>
        <w:widowControl w:val="0"/>
        <w:keepNext w:val="0"/>
        <w:keepLines w:val="0"/>
        <w:shd w:val="clear" w:color="auto" w:fill="auto"/>
        <w:bidi w:val="0"/>
        <w:jc w:val="left"/>
        <w:spacing w:before="0" w:after="0" w:line="160" w:lineRule="exact"/>
        <w:ind w:left="100" w:right="0" w:firstLine="0"/>
      </w:pPr>
      <w:r>
        <w:rPr>
          <w:rStyle w:val="CharStyle15"/>
          <w:spacing w:val="0"/>
        </w:rPr>
        <w:t>Отказать в допуске</w:t>
      </w:r>
    </w:p>
    <w:p>
      <w:pPr>
        <w:pStyle w:val="Style14"/>
        <w:framePr w:w="282" w:h="160" w:wrap="none" w:vAnchor="text" w:hAnchor="margin" w:x="465" w:y="2177"/>
        <w:widowControl w:val="0"/>
        <w:keepNext w:val="0"/>
        <w:keepLines w:val="0"/>
        <w:shd w:val="clear" w:color="auto" w:fill="auto"/>
        <w:bidi w:val="0"/>
        <w:jc w:val="left"/>
        <w:spacing w:before="0" w:after="0" w:line="160" w:lineRule="exact"/>
        <w:ind w:left="100" w:right="0" w:firstLine="0"/>
      </w:pPr>
      <w:r>
        <w:rPr>
          <w:rStyle w:val="CharStyle15"/>
          <w:spacing w:val="0"/>
        </w:rPr>
        <w:t>6</w:t>
      </w:r>
    </w:p>
    <w:p>
      <w:pPr>
        <w:pStyle w:val="Style14"/>
        <w:framePr w:w="6190" w:h="4531" w:wrap="none" w:vAnchor="text" w:hAnchor="margin" w:x="4324" w:y="3"/>
        <w:widowControl w:val="0"/>
        <w:keepNext w:val="0"/>
        <w:keepLines w:val="0"/>
        <w:shd w:val="clear" w:color="auto" w:fill="auto"/>
        <w:bidi w:val="0"/>
        <w:jc w:val="left"/>
        <w:spacing w:before="0" w:after="0" w:line="206" w:lineRule="exact"/>
        <w:ind w:left="120" w:right="100" w:firstLine="0"/>
      </w:pPr>
      <w:r>
        <w:rPr>
          <w:rStyle w:val="CharStyle15"/>
          <w:spacing w:val="0"/>
        </w:rPr>
        <w:t>п. 1 ч. 4 ст. 67 - непредоставление информации, предусмотренной ч. 3 ст. 66 44-ФЗ, или предоставление/установление недостоверной информации предусмотренной ч. 3 ст. 66 44-ФЗ; п. 2. ч. 4 ст. 67 - несоответствие информации, предусмотренной ч. 3 ст. 66 44-ФЗ, требованиям документации о таком аукционе: П.14 Раствор Требование, установленное Заказчиком «Марка в зависимости от подвижности марки Пк2-Пк4».Участником предложено «Марка в зависимости от подвижности марки Пк2-Пк4 «Согласно инструкции по заполнению заявки «Характеристики могут сопровождаться словами или символами, определяющими максимальное и(или) минимальное из возможных, значение характеристики товара (далее</w:t>
      </w:r>
    </w:p>
    <w:p>
      <w:pPr>
        <w:pStyle w:val="Style14"/>
        <w:framePr w:w="6190" w:h="4531" w:wrap="none" w:vAnchor="text" w:hAnchor="margin" w:x="4324" w:y="3"/>
        <w:widowControl w:val="0"/>
        <w:keepNext w:val="0"/>
        <w:keepLines w:val="0"/>
        <w:shd w:val="clear" w:color="auto" w:fill="auto"/>
        <w:bidi w:val="0"/>
        <w:jc w:val="left"/>
        <w:spacing w:before="0" w:after="0" w:line="206" w:lineRule="exact"/>
        <w:ind w:left="120" w:right="0" w:firstLine="0"/>
      </w:pPr>
      <w:r>
        <w:rPr>
          <w:rStyle w:val="CharStyle15"/>
          <w:spacing w:val="0"/>
        </w:rPr>
        <w:t>по тексту - допустимый предел): « «-» Участник должен указывать</w:t>
      </w:r>
    </w:p>
    <w:p>
      <w:pPr>
        <w:pStyle w:val="Style14"/>
        <w:framePr w:w="6190" w:h="4531" w:wrap="none" w:vAnchor="text" w:hAnchor="margin" w:x="4324" w:y="3"/>
        <w:tabs>
          <w:tab w:leader="underscore" w:pos="6106" w:val="left"/>
        </w:tabs>
        <w:widowControl w:val="0"/>
        <w:keepNext w:val="0"/>
        <w:keepLines w:val="0"/>
        <w:shd w:val="clear" w:color="auto" w:fill="auto"/>
        <w:bidi w:val="0"/>
        <w:jc w:val="left"/>
        <w:spacing w:before="0" w:after="0" w:line="206" w:lineRule="exact"/>
        <w:ind w:left="120" w:right="100" w:firstLine="0"/>
      </w:pPr>
      <w:r>
        <w:rPr>
          <w:rStyle w:val="CharStyle15"/>
          <w:spacing w:val="0"/>
        </w:rPr>
        <w:t xml:space="preserve">характеристики, соответствующие предлагаемому к использованию товару, без указания слов и символов, определяющих допустимый предел, учитывая при этом, что символы «-» .... подразумевают, что характеристика(-и), указанная(-ные) заказчиком, включена(-ы) в допустимый предел».П22 Унитаз в комплектеТребование, установленное Заказчиком «Сиденье из полипропилена»Участником предложено «Сиденье должно быть из полипропилена, возможно наличие функции мягкого и плавного закрывания (микролифт)»Согласно инструкции по заполнению заявки «При указании показателя в сопровождении терминов «возможно», «может (быть)», «могут (быть)» участник должен указать точное значение показателя либо в явной </w:t>
      </w:r>
      <w:r>
        <w:rPr>
          <w:rStyle w:val="CharStyle16"/>
          <w:spacing w:val="0"/>
        </w:rPr>
        <w:t>форме указать на отсутствие данного признака у товара».П.37 Раствор</w:t>
      </w:r>
      <w:r>
        <w:rPr>
          <w:rStyle w:val="CharStyle15"/>
          <w:spacing w:val="0"/>
        </w:rPr>
        <w:tab/>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3" w:lineRule="exact"/>
      </w:pPr>
    </w:p>
    <w:p>
      <w:pPr>
        <w:widowControl w:val="0"/>
        <w:rPr>
          <w:sz w:val="2"/>
          <w:szCs w:val="2"/>
        </w:rPr>
        <w:sectPr>
          <w:type w:val="continuous"/>
          <w:pgSz w:w="11906" w:h="16838"/>
          <w:pgMar w:top="819" w:left="747" w:right="747" w:bottom="819" w:header="0" w:footer="3" w:gutter="0"/>
          <w:rtlGutter w:val="0"/>
          <w:cols w:space="720"/>
          <w:noEndnote/>
          <w:docGrid w:linePitch="360"/>
        </w:sectPr>
      </w:pPr>
    </w:p>
    <w:tbl>
      <w:tblPr>
        <w:tblOverlap w:val="never"/>
        <w:tblLayout w:type="fixed"/>
        <w:jc w:val="center"/>
      </w:tblPr>
      <w:tblGrid>
        <w:gridCol w:w="821"/>
        <w:gridCol w:w="1699"/>
        <w:gridCol w:w="1704"/>
        <w:gridCol w:w="6019"/>
      </w:tblGrid>
      <w:tr>
        <w:trPr>
          <w:trHeight w:val="12653" w:hRule="exact"/>
        </w:trPr>
        <w:tc>
          <w:tcPr>
            <w:shd w:val="clear" w:color="auto" w:fill="FFFFFF"/>
            <w:tcBorders>
              <w:left w:val="single" w:sz="4"/>
              <w:top w:val="single" w:sz="4"/>
              <w:bottom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10243"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243" w:wrap="notBeside" w:vAnchor="text" w:hAnchor="text" w:xAlign="center" w:y="1"/>
              <w:widowControl w:val="0"/>
              <w:keepNext w:val="0"/>
              <w:keepLines w:val="0"/>
              <w:shd w:val="clear" w:color="auto" w:fill="auto"/>
              <w:bidi w:val="0"/>
              <w:jc w:val="left"/>
              <w:spacing w:before="0" w:after="0" w:line="206" w:lineRule="exact"/>
              <w:ind w:left="20" w:right="0" w:firstLine="0"/>
            </w:pPr>
            <w:r>
              <w:rPr>
                <w:rStyle w:val="CharStyle17"/>
              </w:rPr>
              <w:t>Требование, установленное Заказчиком «Марка в зависимости от подвижности марки Пк2-Пк4».Участником предложено «Марка в зависимости от подвижности марки Пк2-Пк4 »Согласно инструкции по заполнению заявки «Характеристики могут сопровождаться словами или символами, определяющими максимальное и(или) минимальное из возможных, значение характеристики товара (далее по тексту - допустимый</w:t>
            </w:r>
          </w:p>
          <w:p>
            <w:pPr>
              <w:pStyle w:val="Style7"/>
              <w:framePr w:w="10243" w:wrap="notBeside" w:vAnchor="text" w:hAnchor="text" w:xAlign="center" w:y="1"/>
              <w:tabs>
                <w:tab w:leader="dot" w:pos="965" w:val="left"/>
                <w:tab w:leader="dot" w:pos="1522" w:val="left"/>
              </w:tabs>
              <w:widowControl w:val="0"/>
              <w:keepNext w:val="0"/>
              <w:keepLines w:val="0"/>
              <w:shd w:val="clear" w:color="auto" w:fill="auto"/>
              <w:bidi w:val="0"/>
              <w:jc w:val="both"/>
              <w:spacing w:before="0" w:after="0" w:line="206" w:lineRule="exact"/>
              <w:ind w:left="0" w:right="0" w:firstLine="0"/>
            </w:pPr>
            <w:r>
              <w:rPr>
                <w:rStyle w:val="CharStyle17"/>
              </w:rPr>
              <w:t>предел): «</w:t>
              <w:tab/>
              <w:t>«-»</w:t>
              <w:tab/>
              <w:t>Участник должен указывать характеристики,</w:t>
            </w:r>
          </w:p>
          <w:p>
            <w:pPr>
              <w:pStyle w:val="Style7"/>
              <w:framePr w:w="10243" w:wrap="notBeside" w:vAnchor="text" w:hAnchor="text" w:xAlign="center" w:y="1"/>
              <w:widowControl w:val="0"/>
              <w:keepNext w:val="0"/>
              <w:keepLines w:val="0"/>
              <w:shd w:val="clear" w:color="auto" w:fill="auto"/>
              <w:bidi w:val="0"/>
              <w:jc w:val="left"/>
              <w:spacing w:before="0" w:after="0" w:line="206" w:lineRule="exact"/>
              <w:ind w:left="20" w:right="0" w:firstLine="0"/>
            </w:pPr>
            <w:r>
              <w:rPr>
                <w:rStyle w:val="CharStyle17"/>
              </w:rPr>
              <w:t>соответствующие предлагаемому к использованию товару, без указания слов и символов, определяющих допустимый предел, учитывая при этом, что символы «-» .... подразумевают, что характеристика(-и), указанная(-ные) заказчиком, включена(-ы) в допустимый предел».Требование, установленное Заказчиком «Толщина 40 - 75 мм. Сорт 2-4»Участником предложено «Толщина 40-75 мм. Сорт 2-4 »Согласно инструкции по заполнению заявки «Характеристики могут сопровождаться словами или символами, определяющими максимальное и(или) минимальное из возможных, значение</w:t>
            </w:r>
          </w:p>
          <w:p>
            <w:pPr>
              <w:pStyle w:val="Style7"/>
              <w:framePr w:w="10243" w:wrap="notBeside" w:vAnchor="text" w:hAnchor="text" w:xAlign="center" w:y="1"/>
              <w:tabs>
                <w:tab w:leader="dot" w:pos="5160" w:val="left"/>
                <w:tab w:leader="dot" w:pos="5717" w:val="left"/>
              </w:tabs>
              <w:widowControl w:val="0"/>
              <w:keepNext w:val="0"/>
              <w:keepLines w:val="0"/>
              <w:shd w:val="clear" w:color="auto" w:fill="auto"/>
              <w:bidi w:val="0"/>
              <w:jc w:val="both"/>
              <w:spacing w:before="0" w:after="0" w:line="206" w:lineRule="exact"/>
              <w:ind w:left="0" w:right="0" w:firstLine="0"/>
            </w:pPr>
            <w:r>
              <w:rPr>
                <w:rStyle w:val="CharStyle17"/>
              </w:rPr>
              <w:t>характеристики товара (далее по тексту - допустимый предел): «</w:t>
              <w:tab/>
              <w:t>«-»</w:t>
              <w:tab/>
            </w:r>
          </w:p>
          <w:p>
            <w:pPr>
              <w:pStyle w:val="Style7"/>
              <w:framePr w:w="10243" w:wrap="notBeside" w:vAnchor="text" w:hAnchor="text" w:xAlign="center" w:y="1"/>
              <w:widowControl w:val="0"/>
              <w:keepNext w:val="0"/>
              <w:keepLines w:val="0"/>
              <w:shd w:val="clear" w:color="auto" w:fill="auto"/>
              <w:bidi w:val="0"/>
              <w:jc w:val="left"/>
              <w:spacing w:before="0" w:after="0" w:line="206" w:lineRule="exact"/>
              <w:ind w:left="20" w:right="0" w:firstLine="0"/>
            </w:pPr>
            <w:r>
              <w:rPr>
                <w:rStyle w:val="CharStyle17"/>
              </w:rPr>
              <w:t xml:space="preserve">Участник должен указывать характеристики, соответствующие предлагаемому к использованию товару, без указания слов и символов, определяющих допустимый предел, учитывая при этом, что символы «-» .... подразумевают, что характеристика(-и), указанная(-ные) заказчиком, включена(-ы) в допустимый предел».П.49 Шкурка шлифовальнаяТребование, установленное Заказчиком «Зернистость должна быть 40/25»Участником предложено «Зернистость 40 »Согласно инструкции по заполнению заявки «В случаях, прямо не описанных в настоящей инструкции считать, что показатели являются неизменными и в таком же виде должны быть указаны в заявке».П.54 Кабель силовойУчастником предложено «Стойкость к воздействию температуры окружающей среды максимальное значение по повышенной температуре 50 </w:t>
            </w:r>
            <w:r>
              <w:rPr>
                <w:rStyle w:val="CharStyle17"/>
                <w:lang w:val="en-US" w:eastAsia="en-US" w:bidi="en-US"/>
              </w:rPr>
              <w:t xml:space="preserve">°C, </w:t>
            </w:r>
            <w:r>
              <w:rPr>
                <w:rStyle w:val="CharStyle17"/>
              </w:rPr>
              <w:t xml:space="preserve">минимальное значение по пониженной температуре минус 50 °С»Согласно инструкции по заполнению заявки «Характеристики могут сопровождаться словами или символами, определяющими максимальное и(или) минимальное из возможных, значение характеристики товара (далее по тексту - допустимый предел): ... «максимальное значение», «минимальное значение» . Участник должен указывать характеристики, соответствующие предлагаемому к использованию товару, без указания слов и символов, определяющих допустимый предел».П.75 Кабель силовойУчастником предложено «Стойкость к воздействию температуры окружающей среды максимальное значение по повышенной температуре 50 </w:t>
            </w:r>
            <w:r>
              <w:rPr>
                <w:rStyle w:val="CharStyle17"/>
                <w:lang w:val="en-US" w:eastAsia="en-US" w:bidi="en-US"/>
              </w:rPr>
              <w:t xml:space="preserve">°C, </w:t>
            </w:r>
            <w:r>
              <w:rPr>
                <w:rStyle w:val="CharStyle17"/>
              </w:rPr>
              <w:t>минимальное значение по пониженной температуре минус 50 °С»Согласно инструкции по заполнению заявки «Характеристики могут сопровождаться словами или символами, определяющими максимальное и(или) минимальное из возможных, значение характеристики товара (далее по тексту - допустимый предел): ... «максимальное значение», «минимальное значение» . Участник должен указывать характеристики, соответствующие предлагаемому к использованию товару, без указания слов и символов, определяющих допустимый предел».П.91 БлокУчастником предложено «Степень защиты корпуса менее: 1Р20»Согласно инструкции по заполнению заявки «Характеристики могут сопровождаться словами или символами, определяющими максимальное и(или) минимальное из возможных, значение характеристики товара (далее по тексту - допустимый предел): ...«(не) менее», «(не) более» Участник должен указывать характеристики, соответствующие предлагаемому к использованию товару, без указания слов и символов, определяющих допустимый предел».П.92 ИзвещательУчастником предложено «Степень защиты корпуса более [Р41»Согласно инструкции по заполнению заявки «Характеристики могут сопровождаться словами или символами, определяющими максимальное и(или) минимальное из возможных, значение характеристики товара (далее по тексту - допустимый предел): ...«(не) менее», «(не) более» Участник должен указывать характеристики, соответствующие предлагаемому к использованию товару, без указания слов и символов, определяющих допустимый предел».</w:t>
            </w:r>
          </w:p>
        </w:tc>
      </w:tr>
    </w:tbl>
    <w:p>
      <w:pPr>
        <w:widowControl w:val="0"/>
        <w:rPr>
          <w:sz w:val="2"/>
          <w:szCs w:val="2"/>
        </w:rPr>
      </w:pPr>
    </w:p>
    <w:p>
      <w:pPr>
        <w:pStyle w:val="Style7"/>
        <w:widowControl w:val="0"/>
        <w:keepNext w:val="0"/>
        <w:keepLines w:val="0"/>
        <w:shd w:val="clear" w:color="auto" w:fill="auto"/>
        <w:bidi w:val="0"/>
        <w:jc w:val="left"/>
        <w:spacing w:before="0" w:after="0" w:line="260" w:lineRule="exact"/>
        <w:ind w:left="860" w:right="0" w:firstLine="0"/>
      </w:pPr>
      <w:r>
        <w:rPr>
          <w:rStyle w:val="CharStyle18"/>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left"/>
        <w:spacing w:before="0" w:after="0" w:line="260" w:lineRule="exact"/>
        <w:ind w:left="860" w:right="0" w:firstLine="0"/>
      </w:pPr>
      <w:r>
        <w:rPr>
          <w:lang w:val="ru-RU" w:eastAsia="ru-RU" w:bidi="ru-RU"/>
          <w:w w:val="100"/>
          <w:spacing w:val="0"/>
          <w:color w:val="000000"/>
          <w:position w:val="0"/>
        </w:rPr>
        <w:t>Заказчиком в Техническом заданию документации об Аукционе установлено:</w:t>
      </w:r>
    </w:p>
    <w:p>
      <w:pPr>
        <w:pStyle w:val="Style7"/>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w:t>
      </w:r>
    </w:p>
    <w:p>
      <w:pPr>
        <w:pStyle w:val="Style3"/>
        <w:widowControl w:val="0"/>
        <w:keepNext w:val="0"/>
        <w:keepLines w:val="0"/>
        <w:shd w:val="clear" w:color="auto" w:fill="auto"/>
        <w:bidi w:val="0"/>
        <w:spacing w:before="0" w:after="0"/>
        <w:ind w:left="300" w:right="0" w:firstLine="0"/>
      </w:pPr>
      <w:r>
        <w:rPr>
          <w:lang w:val="ru-RU" w:eastAsia="ru-RU" w:bidi="ru-RU"/>
          <w:w w:val="100"/>
          <w:spacing w:val="0"/>
          <w:color w:val="000000"/>
          <w:position w:val="0"/>
        </w:rPr>
        <w:t>СВЕДЕНИЯ О ТОВАРАХ (материалах) используемых при выполнении подрядных работ</w:t>
      </w:r>
    </w:p>
    <w:tbl>
      <w:tblPr>
        <w:tblOverlap w:val="never"/>
        <w:tblLayout w:type="fixed"/>
        <w:jc w:val="center"/>
      </w:tblPr>
      <w:tblGrid>
        <w:gridCol w:w="605"/>
        <w:gridCol w:w="2414"/>
        <w:gridCol w:w="6744"/>
      </w:tblGrid>
      <w:tr>
        <w:trPr>
          <w:trHeight w:val="432"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 п/п</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Наименование товара</w:t>
            </w:r>
          </w:p>
        </w:tc>
        <w:tc>
          <w:tcPr>
            <w:shd w:val="clear" w:color="auto" w:fill="FFFFFF"/>
            <w:tcBorders>
              <w:left w:val="single" w:sz="4"/>
              <w:righ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17"/>
              </w:rPr>
              <w:t>Требование к товарам, установленные заказчиком</w:t>
            </w:r>
          </w:p>
        </w:tc>
      </w:tr>
      <w:tr>
        <w:trPr>
          <w:trHeight w:val="216"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763" w:wrap="notBeside" w:vAnchor="text" w:hAnchor="text" w:xAlign="center" w:y="1"/>
              <w:widowControl w:val="0"/>
              <w:rPr>
                <w:sz w:val="10"/>
                <w:szCs w:val="10"/>
              </w:rPr>
            </w:pPr>
          </w:p>
        </w:tc>
      </w:tr>
      <w:tr>
        <w:trPr>
          <w:trHeight w:val="2078"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14</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Раствор</w:t>
            </w:r>
          </w:p>
        </w:tc>
        <w:tc>
          <w:tcPr>
            <w:shd w:val="clear" w:color="auto" w:fill="FFFFFF"/>
            <w:tcBorders>
              <w:left w:val="single" w:sz="4"/>
              <w:right w:val="single" w:sz="4"/>
              <w:top w:val="single" w:sz="4"/>
            </w:tcBorders>
            <w:vAlign w:val="bottom"/>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Классификация по основному назначению</w:t>
            </w:r>
            <w:r>
              <w:rPr>
                <w:rStyle w:val="CharStyle17"/>
              </w:rPr>
              <w:t xml:space="preserve"> требуется кладочный раствор. </w:t>
            </w:r>
            <w:r>
              <w:rPr>
                <w:rStyle w:val="CharStyle20"/>
              </w:rPr>
              <w:t>Марка</w:t>
            </w:r>
            <w:r>
              <w:rPr>
                <w:rStyle w:val="CharStyle17"/>
              </w:rPr>
              <w:t xml:space="preserve"> в зависимости от подвижности марки Пк2-Пк4. </w:t>
            </w:r>
            <w:r>
              <w:rPr>
                <w:rStyle w:val="CharStyle20"/>
              </w:rPr>
              <w:t>Марка по прочности на сжатие раствора</w:t>
            </w:r>
            <w:r>
              <w:rPr>
                <w:rStyle w:val="CharStyle17"/>
              </w:rPr>
              <w:t xml:space="preserve"> в возрасте, который должен быть равен 28 суток, требуется М 150. Марка морозостойкости не менее </w:t>
            </w:r>
            <w:r>
              <w:rPr>
                <w:rStyle w:val="CharStyle17"/>
                <w:lang w:val="en-US" w:eastAsia="en-US" w:bidi="en-US"/>
              </w:rPr>
              <w:t xml:space="preserve">F50. </w:t>
            </w:r>
            <w:r>
              <w:rPr>
                <w:rStyle w:val="CharStyle20"/>
              </w:rPr>
              <w:t>Заполнитель</w:t>
            </w:r>
            <w:r>
              <w:rPr>
                <w:rStyle w:val="CharStyle17"/>
              </w:rPr>
              <w:t xml:space="preserve"> в качестве заполнителя должен применяться песок для строительных работ и/или золы-уноса по ГОСТ 25818-91 и/или золошлаковый песок по ГОСТ 25592-91 и/или пористые пески по ГОСТ 25820-2014 и/или песок из шлаков тепловых электростанций по ГОСТ 26644-85 песок из шлаков черной и цветной металлургии для бетонов по ГОСТ 5578-94. </w:t>
            </w:r>
            <w:r>
              <w:rPr>
                <w:rStyle w:val="CharStyle20"/>
              </w:rPr>
              <w:t>Соответствие</w:t>
            </w:r>
            <w:r>
              <w:rPr>
                <w:rStyle w:val="CharStyle17"/>
              </w:rPr>
              <w:t xml:space="preserve"> должен отвечать требованиям государственных стандартов, регламентируюшцх данный вид продукции.</w:t>
            </w:r>
          </w:p>
        </w:tc>
      </w:tr>
      <w:tr>
        <w:trPr>
          <w:trHeight w:val="250"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763" w:wrap="notBeside" w:vAnchor="text" w:hAnchor="text" w:xAlign="center" w:y="1"/>
              <w:widowControl w:val="0"/>
              <w:rPr>
                <w:sz w:val="10"/>
                <w:szCs w:val="10"/>
              </w:rPr>
            </w:pPr>
          </w:p>
        </w:tc>
      </w:tr>
      <w:tr>
        <w:trPr>
          <w:trHeight w:val="2702"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22</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Унитаз в комплекте</w:t>
            </w:r>
          </w:p>
        </w:tc>
        <w:tc>
          <w:tcPr>
            <w:shd w:val="clear" w:color="auto" w:fill="FFFFFF"/>
            <w:tcBorders>
              <w:left w:val="single" w:sz="4"/>
              <w:right w:val="single" w:sz="4"/>
              <w:top w:val="single" w:sz="4"/>
            </w:tcBorders>
            <w:vAlign w:val="bottom"/>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Описание</w:t>
            </w:r>
            <w:r>
              <w:rPr>
                <w:rStyle w:val="CharStyle17"/>
              </w:rPr>
              <w:t xml:space="preserve"> требуется унитаз напольного типа полуфарфоровый; фарфоровый; санфаянсовый. </w:t>
            </w:r>
            <w:r>
              <w:rPr>
                <w:rStyle w:val="CharStyle20"/>
              </w:rPr>
              <w:t>Конструкция</w:t>
            </w:r>
            <w:r>
              <w:rPr>
                <w:rStyle w:val="CharStyle17"/>
              </w:rPr>
              <w:t xml:space="preserve"> (мм) должна соответствовать указанной на изображении 3. </w:t>
            </w:r>
            <w:r>
              <w:rPr>
                <w:rStyle w:val="CharStyle20"/>
              </w:rPr>
              <w:t>Назначение</w:t>
            </w:r>
            <w:r>
              <w:rPr>
                <w:rStyle w:val="CharStyle17"/>
              </w:rPr>
              <w:t xml:space="preserve"> должны быть для установки в санитарных узлах, бытовых и других помещениях зданий и сооружений различного назначения. </w:t>
            </w:r>
            <w:r>
              <w:rPr>
                <w:rStyle w:val="CharStyle20"/>
              </w:rPr>
              <w:t>Глазурь</w:t>
            </w:r>
            <w:r>
              <w:rPr>
                <w:rStyle w:val="CharStyle17"/>
              </w:rPr>
              <w:t xml:space="preserve"> должна быть термически и химически стойкой. </w:t>
            </w:r>
            <w:r>
              <w:rPr>
                <w:rStyle w:val="CharStyle20"/>
              </w:rPr>
              <w:t>Выпуск</w:t>
            </w:r>
            <w:r>
              <w:rPr>
                <w:rStyle w:val="CharStyle17"/>
              </w:rPr>
              <w:t xml:space="preserve"> косой; прямой. </w:t>
            </w:r>
            <w:r>
              <w:rPr>
                <w:rStyle w:val="CharStyle20"/>
              </w:rPr>
              <w:t>Подвод воды</w:t>
            </w:r>
            <w:r>
              <w:rPr>
                <w:rStyle w:val="CharStyle17"/>
              </w:rPr>
              <w:t xml:space="preserve"> должен быть нижний. </w:t>
            </w:r>
            <w:r>
              <w:rPr>
                <w:rStyle w:val="CharStyle20"/>
              </w:rPr>
              <w:t>Режим смыва</w:t>
            </w:r>
            <w:r>
              <w:rPr>
                <w:rStyle w:val="CharStyle17"/>
              </w:rPr>
              <w:t xml:space="preserve"> двойной 3/6 л. </w:t>
            </w:r>
            <w:r>
              <w:rPr>
                <w:rStyle w:val="CharStyle20"/>
              </w:rPr>
              <w:t>Омыв чаши при смыве</w:t>
            </w:r>
            <w:r>
              <w:rPr>
                <w:rStyle w:val="CharStyle17"/>
              </w:rPr>
              <w:t xml:space="preserve"> должен быть полный. </w:t>
            </w:r>
            <w:r>
              <w:rPr>
                <w:rStyle w:val="CharStyle20"/>
              </w:rPr>
              <w:t>Сиденье</w:t>
            </w:r>
            <w:r>
              <w:rPr>
                <w:rStyle w:val="CharStyle17"/>
              </w:rPr>
              <w:t xml:space="preserve"> должно быть из полипропилена, возможно наличие функции мягкого и плавного закрывания (микролифт). </w:t>
            </w:r>
            <w:r>
              <w:rPr>
                <w:rStyle w:val="CharStyle20"/>
              </w:rPr>
              <w:t>Конфигурация сиденья</w:t>
            </w:r>
            <w:r>
              <w:rPr>
                <w:rStyle w:val="CharStyle17"/>
              </w:rPr>
              <w:t xml:space="preserve"> должна соответствовать конфигурации смывного кольца унитаза. </w:t>
            </w:r>
            <w:r>
              <w:rPr>
                <w:rStyle w:val="CharStyle20"/>
              </w:rPr>
              <w:t>Лицевая поверхность сиденья</w:t>
            </w:r>
            <w:r>
              <w:rPr>
                <w:rStyle w:val="CharStyle17"/>
              </w:rPr>
              <w:t xml:space="preserve"> должна быть ровной и гладкой, без трещин, наплывов, вздутий и других дефектов. </w:t>
            </w:r>
            <w:r>
              <w:rPr>
                <w:rStyle w:val="CharStyle20"/>
              </w:rPr>
              <w:t>Цвет унитаза</w:t>
            </w:r>
            <w:r>
              <w:rPr>
                <w:rStyle w:val="CharStyle17"/>
              </w:rPr>
              <w:t xml:space="preserve"> требуется белый, </w:t>
            </w:r>
            <w:r>
              <w:rPr>
                <w:rStyle w:val="CharStyle20"/>
              </w:rPr>
              <w:t>цвет фурнитуры</w:t>
            </w:r>
            <w:r>
              <w:rPr>
                <w:rStyle w:val="CharStyle17"/>
              </w:rPr>
              <w:t xml:space="preserve"> хром. </w:t>
            </w:r>
            <w:r>
              <w:rPr>
                <w:rStyle w:val="CharStyle20"/>
              </w:rPr>
              <w:t>Соответствие</w:t>
            </w:r>
            <w:r>
              <w:rPr>
                <w:rStyle w:val="CharStyle17"/>
              </w:rPr>
              <w:t xml:space="preserve"> требуется соответствие требованиям государственных стандартов, регламентирующих данный вид продукции.</w:t>
            </w:r>
          </w:p>
        </w:tc>
      </w:tr>
      <w:tr>
        <w:trPr>
          <w:trHeight w:val="216"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763" w:wrap="notBeside" w:vAnchor="text" w:hAnchor="text" w:xAlign="center" w:y="1"/>
              <w:widowControl w:val="0"/>
              <w:rPr>
                <w:sz w:val="10"/>
                <w:szCs w:val="10"/>
              </w:rPr>
            </w:pPr>
          </w:p>
        </w:tc>
      </w:tr>
      <w:tr>
        <w:trPr>
          <w:trHeight w:val="2285"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37</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Раствор</w:t>
            </w:r>
          </w:p>
        </w:tc>
        <w:tc>
          <w:tcPr>
            <w:shd w:val="clear" w:color="auto" w:fill="FFFFFF"/>
            <w:tcBorders>
              <w:left w:val="single" w:sz="4"/>
              <w:right w:val="single" w:sz="4"/>
              <w:top w:val="single" w:sz="4"/>
            </w:tcBorders>
            <w:vAlign w:val="bottom"/>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Классификация по основному назначению</w:t>
            </w:r>
            <w:r>
              <w:rPr>
                <w:rStyle w:val="CharStyle17"/>
              </w:rPr>
              <w:t xml:space="preserve"> требуется кладочный раствор. </w:t>
            </w:r>
            <w:r>
              <w:rPr>
                <w:rStyle w:val="CharStyle20"/>
              </w:rPr>
              <w:t>Марка</w:t>
            </w:r>
            <w:r>
              <w:rPr>
                <w:rStyle w:val="CharStyle17"/>
              </w:rPr>
              <w:t xml:space="preserve"> в зависимости от подвижности марки Пк2-Пк4. </w:t>
            </w:r>
            <w:r>
              <w:rPr>
                <w:rStyle w:val="CharStyle20"/>
              </w:rPr>
              <w:t>Марка по прочности на сжатие раствора</w:t>
            </w:r>
            <w:r>
              <w:rPr>
                <w:rStyle w:val="CharStyle17"/>
              </w:rPr>
              <w:t xml:space="preserve"> в возрасте, который должен быть равен 28 суток, требуется М 25. Марка морозостойкости не менее </w:t>
            </w:r>
            <w:r>
              <w:rPr>
                <w:rStyle w:val="CharStyle17"/>
                <w:lang w:val="en-US" w:eastAsia="en-US" w:bidi="en-US"/>
              </w:rPr>
              <w:t xml:space="preserve">F50. </w:t>
            </w:r>
            <w:r>
              <w:rPr>
                <w:rStyle w:val="CharStyle20"/>
              </w:rPr>
              <w:t>Заполнитель</w:t>
            </w:r>
            <w:r>
              <w:rPr>
                <w:rStyle w:val="CharStyle17"/>
              </w:rPr>
              <w:t xml:space="preserve"> в качестве заполнителя должен применяться песок для строительных работ и/или золы-уноса по ГОСТ 25818-91 и/или золошлаковый песок по ГОСТ 25592-91 и/или пористые пески по ГОСТ 25820-2014 и/или песок из шлаков тепловых электростанций по ГОСТ 26644-85 песок из шлаков черной и цветной металлургии для бетонов по ГОСТ 5578-94. </w:t>
            </w:r>
            <w:r>
              <w:rPr>
                <w:rStyle w:val="CharStyle20"/>
              </w:rPr>
              <w:t>Вяжущее</w:t>
            </w:r>
            <w:r>
              <w:rPr>
                <w:rStyle w:val="CharStyle17"/>
              </w:rPr>
              <w:t xml:space="preserve"> (кроме цемента) требуется известковое вяжущее. </w:t>
            </w:r>
            <w:r>
              <w:rPr>
                <w:rStyle w:val="CharStyle20"/>
              </w:rPr>
              <w:t>Соответствие</w:t>
            </w:r>
            <w:r>
              <w:rPr>
                <w:rStyle w:val="CharStyle17"/>
              </w:rPr>
              <w:t xml:space="preserve"> должен отвечать требованиям государственных стандартов, регламентирующих данный вид продукции.</w:t>
            </w:r>
          </w:p>
        </w:tc>
      </w:tr>
      <w:tr>
        <w:trPr>
          <w:trHeight w:val="221"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763" w:wrap="notBeside" w:vAnchor="text" w:hAnchor="text" w:xAlign="center" w:y="1"/>
              <w:widowControl w:val="0"/>
              <w:rPr>
                <w:sz w:val="10"/>
                <w:szCs w:val="10"/>
              </w:rPr>
            </w:pPr>
          </w:p>
        </w:tc>
      </w:tr>
      <w:tr>
        <w:trPr>
          <w:trHeight w:val="1704"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40</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Бруски деревянные</w:t>
            </w:r>
          </w:p>
        </w:tc>
        <w:tc>
          <w:tcPr>
            <w:shd w:val="clear" w:color="auto" w:fill="FFFFFF"/>
            <w:tcBorders>
              <w:left w:val="single" w:sz="4"/>
              <w:righ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Описание</w:t>
            </w:r>
            <w:r>
              <w:rPr>
                <w:rStyle w:val="CharStyle17"/>
              </w:rPr>
              <w:t xml:space="preserve"> обрезные пиломатериалы. </w:t>
            </w:r>
            <w:r>
              <w:rPr>
                <w:rStyle w:val="CharStyle20"/>
              </w:rPr>
              <w:t>Древесина</w:t>
            </w:r>
            <w:r>
              <w:rPr>
                <w:rStyle w:val="CharStyle17"/>
              </w:rPr>
              <w:t xml:space="preserve"> пиломатериалы требуются из древесины породы: сосна, ель, пихта, лиственница, кедр. </w:t>
            </w:r>
            <w:r>
              <w:rPr>
                <w:rStyle w:val="CharStyle20"/>
              </w:rPr>
              <w:t>Соответствие</w:t>
            </w:r>
            <w:r>
              <w:rPr>
                <w:rStyle w:val="CharStyle17"/>
              </w:rPr>
              <w:t xml:space="preserve"> должны отвечать требованиям государственных стандартов, регламентирующих данный вид продукции. </w:t>
            </w:r>
            <w:r>
              <w:rPr>
                <w:rStyle w:val="CharStyle20"/>
              </w:rPr>
              <w:t>Длина</w:t>
            </w:r>
            <w:r>
              <w:rPr>
                <w:rStyle w:val="CharStyle17"/>
              </w:rPr>
              <w:t xml:space="preserve"> 4...6,5 м. </w:t>
            </w:r>
            <w:r>
              <w:rPr>
                <w:rStyle w:val="CharStyle20"/>
              </w:rPr>
              <w:t>Ширина</w:t>
            </w:r>
            <w:r>
              <w:rPr>
                <w:rStyle w:val="CharStyle17"/>
              </w:rPr>
              <w:t xml:space="preserve"> не менее 75 мм. Толщина 40 - 75 мм. </w:t>
            </w:r>
            <w:r>
              <w:rPr>
                <w:rStyle w:val="CharStyle20"/>
              </w:rPr>
              <w:t>Сорт</w:t>
            </w:r>
            <w:r>
              <w:rPr>
                <w:rStyle w:val="CharStyle17"/>
              </w:rPr>
              <w:t xml:space="preserve"> 2-4. </w:t>
            </w:r>
            <w:r>
              <w:rPr>
                <w:rStyle w:val="CharStyle20"/>
              </w:rPr>
              <w:t>Инородные включения (проволока, гвозди, металлические осколки и др.)</w:t>
            </w:r>
            <w:r>
              <w:rPr>
                <w:rStyle w:val="CharStyle17"/>
              </w:rPr>
              <w:t xml:space="preserve"> должны отсутствовать полностью.</w:t>
            </w:r>
          </w:p>
        </w:tc>
      </w:tr>
      <w:tr>
        <w:trPr>
          <w:trHeight w:val="245"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763" w:wrap="notBeside" w:vAnchor="text" w:hAnchor="text" w:xAlign="center" w:y="1"/>
              <w:widowControl w:val="0"/>
              <w:rPr>
                <w:sz w:val="10"/>
                <w:szCs w:val="10"/>
              </w:rPr>
            </w:pPr>
          </w:p>
        </w:tc>
      </w:tr>
      <w:tr>
        <w:trPr>
          <w:trHeight w:val="1042"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49</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Шкурка шлифовальная</w:t>
            </w:r>
          </w:p>
        </w:tc>
        <w:tc>
          <w:tcPr>
            <w:shd w:val="clear" w:color="auto" w:fill="FFFFFF"/>
            <w:tcBorders>
              <w:left w:val="single" w:sz="4"/>
              <w:righ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Требуется</w:t>
            </w:r>
            <w:r>
              <w:rPr>
                <w:rStyle w:val="CharStyle17"/>
              </w:rPr>
              <w:t xml:space="preserve"> тканевая шлифовальная шкурка. </w:t>
            </w:r>
            <w:r>
              <w:rPr>
                <w:rStyle w:val="CharStyle20"/>
              </w:rPr>
              <w:t>Назначение</w:t>
            </w:r>
            <w:r>
              <w:rPr>
                <w:rStyle w:val="CharStyle17"/>
              </w:rPr>
              <w:t xml:space="preserve"> для абразивной обработки различных материалов. </w:t>
            </w:r>
            <w:r>
              <w:rPr>
                <w:rStyle w:val="CharStyle20"/>
              </w:rPr>
              <w:t>Свойство</w:t>
            </w:r>
            <w:r>
              <w:rPr>
                <w:rStyle w:val="CharStyle17"/>
              </w:rPr>
              <w:t xml:space="preserve"> должна быть двухслойной, водостойкой предназначенной в том числе для машинной и ручной обработки древесины, пластмасс, лаковых покрытий и сплавов с низкой твердостью. </w:t>
            </w:r>
            <w:r>
              <w:rPr>
                <w:rStyle w:val="CharStyle20"/>
              </w:rPr>
              <w:t>Зернистость</w:t>
            </w:r>
            <w:r>
              <w:rPr>
                <w:rStyle w:val="CharStyle17"/>
              </w:rPr>
              <w:t xml:space="preserve"> должна быть 40/25.</w:t>
            </w:r>
          </w:p>
        </w:tc>
      </w:tr>
      <w:tr>
        <w:trPr>
          <w:trHeight w:val="235"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763" w:wrap="notBeside" w:vAnchor="text" w:hAnchor="text" w:xAlign="center" w:y="1"/>
              <w:widowControl w:val="0"/>
              <w:rPr>
                <w:sz w:val="10"/>
                <w:szCs w:val="10"/>
              </w:rPr>
            </w:pPr>
          </w:p>
        </w:tc>
      </w:tr>
      <w:tr>
        <w:trPr>
          <w:trHeight w:val="2918" w:hRule="exact"/>
        </w:trPr>
        <w:tc>
          <w:tcPr>
            <w:shd w:val="clear" w:color="auto" w:fill="FFFFFF"/>
            <w:tcBorders>
              <w:left w:val="single" w:sz="4"/>
              <w:top w:val="single" w:sz="4"/>
              <w:bottom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54</w:t>
            </w:r>
          </w:p>
        </w:tc>
        <w:tc>
          <w:tcPr>
            <w:shd w:val="clear" w:color="auto" w:fill="FFFFFF"/>
            <w:tcBorders>
              <w:left w:val="single" w:sz="4"/>
              <w:top w:val="single" w:sz="4"/>
              <w:bottom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Кабель силовой</w:t>
            </w:r>
          </w:p>
        </w:tc>
        <w:tc>
          <w:tcPr>
            <w:shd w:val="clear" w:color="auto" w:fill="FFFFFF"/>
            <w:tcBorders>
              <w:left w:val="single" w:sz="4"/>
              <w:right w:val="single" w:sz="4"/>
              <w:top w:val="single" w:sz="4"/>
              <w:bottom w:val="single" w:sz="4"/>
            </w:tcBorders>
            <w:vAlign w:val="bottom"/>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Назначение</w:t>
            </w:r>
            <w:r>
              <w:rPr>
                <w:rStyle w:val="CharStyle17"/>
              </w:rPr>
              <w:t xml:space="preserve"> для передачи и распределения электрической энергии в стационарных установках на номинальное переменное напряжение 0,66 кВ номинальной частотой 50 Гц. </w:t>
            </w:r>
            <w:r>
              <w:rPr>
                <w:rStyle w:val="CharStyle20"/>
              </w:rPr>
              <w:t>Требование</w:t>
            </w:r>
            <w:r>
              <w:rPr>
                <w:rStyle w:val="CharStyle17"/>
              </w:rPr>
              <w:t xml:space="preserve"> кабель должен быть круглый с медными жилами с изоляцией из поливинилхлоридного пластиката в наружной оболочке из поливинилхлоридного пластиката, небронированный, без экрана, огнестойкий, не распространяющий горение при групповой прокладке, с пониженным дымо- и газовыделением. </w:t>
            </w:r>
            <w:r>
              <w:rPr>
                <w:rStyle w:val="CharStyle20"/>
              </w:rPr>
              <w:t>Сечение жил кабеля</w:t>
            </w:r>
            <w:r>
              <w:rPr>
                <w:rStyle w:val="CharStyle17"/>
              </w:rPr>
              <w:t xml:space="preserve"> должен иметь все жилы равного сечения. </w:t>
            </w:r>
            <w:r>
              <w:rPr>
                <w:rStyle w:val="CharStyle20"/>
              </w:rPr>
              <w:t>Изолированные жилы кабеля</w:t>
            </w:r>
            <w:r>
              <w:rPr>
                <w:rStyle w:val="CharStyle17"/>
              </w:rPr>
              <w:t xml:space="preserve"> должны иметь отличительную расцветку, должны быть скручены в сердечник. </w:t>
            </w:r>
            <w:r>
              <w:rPr>
                <w:rStyle w:val="CharStyle20"/>
              </w:rPr>
              <w:t>Цветовая маркировка</w:t>
            </w:r>
            <w:r>
              <w:rPr>
                <w:rStyle w:val="CharStyle17"/>
              </w:rPr>
              <w:t xml:space="preserve"> требуется сплошной и\или в виде продольной полосы. </w:t>
            </w:r>
            <w:r>
              <w:rPr>
                <w:rStyle w:val="CharStyle20"/>
              </w:rPr>
              <w:t>Конструктивное исполнение</w:t>
            </w:r>
            <w:r>
              <w:rPr>
                <w:rStyle w:val="CharStyle17"/>
              </w:rPr>
              <w:t xml:space="preserve"> токопроводящие жилы должны быть однопроволочные. </w:t>
            </w:r>
            <w:r>
              <w:rPr>
                <w:rStyle w:val="CharStyle20"/>
              </w:rPr>
              <w:t>Стойкость к навиванию</w:t>
            </w:r>
            <w:r>
              <w:rPr>
                <w:rStyle w:val="CharStyle17"/>
              </w:rPr>
              <w:t xml:space="preserve"> требуется. </w:t>
            </w:r>
            <w:r>
              <w:rPr>
                <w:rStyle w:val="CharStyle20"/>
              </w:rPr>
              <w:t>Стойкость к воздействию температуры окружающей среды</w:t>
            </w:r>
            <w:r>
              <w:rPr>
                <w:rStyle w:val="CharStyle17"/>
              </w:rPr>
              <w:t xml:space="preserve"> максимальное значение по повышенной температуре 50 </w:t>
            </w:r>
            <w:r>
              <w:rPr>
                <w:rStyle w:val="CharStyle17"/>
                <w:lang w:val="en-US" w:eastAsia="en-US" w:bidi="en-US"/>
              </w:rPr>
              <w:t xml:space="preserve">°C, </w:t>
            </w:r>
            <w:r>
              <w:rPr>
                <w:rStyle w:val="CharStyle17"/>
              </w:rPr>
              <w:t xml:space="preserve">минимальное значение по пониженной температуре минус 50 </w:t>
            </w:r>
            <w:r>
              <w:rPr>
                <w:rStyle w:val="CharStyle17"/>
                <w:lang w:val="en-US" w:eastAsia="en-US" w:bidi="en-US"/>
              </w:rPr>
              <w:t xml:space="preserve">°C. </w:t>
            </w:r>
            <w:r>
              <w:rPr>
                <w:rStyle w:val="CharStyle20"/>
              </w:rPr>
              <w:t>Изоляция и оболочка кабеля</w:t>
            </w:r>
            <w:r>
              <w:rPr>
                <w:rStyle w:val="CharStyle17"/>
              </w:rPr>
              <w:t xml:space="preserve"> должны быть стойкими к растрескиванию при</w:t>
            </w:r>
          </w:p>
        </w:tc>
      </w:tr>
    </w:tbl>
    <w:p>
      <w:pPr>
        <w:widowControl w:val="0"/>
        <w:rPr>
          <w:sz w:val="2"/>
          <w:szCs w:val="2"/>
        </w:rPr>
      </w:pPr>
    </w:p>
    <w:tbl>
      <w:tblPr>
        <w:tblOverlap w:val="never"/>
        <w:tblLayout w:type="fixed"/>
        <w:jc w:val="center"/>
      </w:tblPr>
      <w:tblGrid>
        <w:gridCol w:w="605"/>
        <w:gridCol w:w="2419"/>
        <w:gridCol w:w="6739"/>
      </w:tblGrid>
      <w:tr>
        <w:trPr>
          <w:trHeight w:val="1051"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7"/>
              </w:rPr>
              <w:t xml:space="preserve">повышенной температуре. </w:t>
            </w:r>
            <w:r>
              <w:rPr>
                <w:rStyle w:val="CharStyle20"/>
              </w:rPr>
              <w:t>Номинальное сечение токопроводящих жил</w:t>
            </w:r>
            <w:r>
              <w:rPr>
                <w:rStyle w:val="CharStyle17"/>
              </w:rPr>
              <w:t xml:space="preserve"> 1,5 мм</w:t>
            </w:r>
            <w:r>
              <w:rPr>
                <w:rStyle w:val="CharStyle17"/>
                <w:vertAlign w:val="superscript"/>
              </w:rPr>
              <w:t>2</w:t>
            </w:r>
            <w:r>
              <w:rPr>
                <w:rStyle w:val="CharStyle17"/>
              </w:rPr>
              <w:t xml:space="preserve">. </w:t>
            </w:r>
            <w:r>
              <w:rPr>
                <w:rStyle w:val="CharStyle20"/>
              </w:rPr>
              <w:t>Число токопроводящих жил</w:t>
            </w:r>
            <w:r>
              <w:rPr>
                <w:rStyle w:val="CharStyle17"/>
              </w:rPr>
              <w:t xml:space="preserve"> 3. </w:t>
            </w:r>
            <w:r>
              <w:rPr>
                <w:rStyle w:val="CharStyle20"/>
              </w:rPr>
              <w:t>Номинальное переменное напряжение между каждой из основных токопроводящих жил и землей кабеля</w:t>
            </w:r>
            <w:r>
              <w:rPr>
                <w:rStyle w:val="CharStyle17"/>
              </w:rPr>
              <w:t xml:space="preserve"> не менее 0,38 кВ. </w:t>
            </w:r>
            <w:r>
              <w:rPr>
                <w:rStyle w:val="CharStyle20"/>
              </w:rPr>
              <w:t>Соответствие</w:t>
            </w:r>
            <w:r>
              <w:rPr>
                <w:rStyle w:val="CharStyle17"/>
              </w:rPr>
              <w:t xml:space="preserve"> кабель должен соответствовать требованиям государственных стандартов, регламентирующих данный вид продукции.</w:t>
            </w:r>
          </w:p>
        </w:tc>
      </w:tr>
      <w:tr>
        <w:trPr>
          <w:trHeight w:val="240"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763" w:wrap="notBeside" w:vAnchor="text" w:hAnchor="text" w:xAlign="center" w:y="1"/>
              <w:widowControl w:val="0"/>
              <w:rPr>
                <w:sz w:val="10"/>
                <w:szCs w:val="10"/>
              </w:rPr>
            </w:pPr>
          </w:p>
        </w:tc>
      </w:tr>
      <w:tr>
        <w:trPr>
          <w:trHeight w:val="3941"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75</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Кабель силовой</w:t>
            </w:r>
          </w:p>
        </w:tc>
        <w:tc>
          <w:tcPr>
            <w:shd w:val="clear" w:color="auto" w:fill="FFFFFF"/>
            <w:tcBorders>
              <w:left w:val="single" w:sz="4"/>
              <w:right w:val="single" w:sz="4"/>
              <w:top w:val="single" w:sz="4"/>
            </w:tcBorders>
            <w:vAlign w:val="bottom"/>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Назначение</w:t>
            </w:r>
            <w:r>
              <w:rPr>
                <w:rStyle w:val="CharStyle17"/>
              </w:rPr>
              <w:t xml:space="preserve"> для передачи и распределения электрической энергии в стационарных установках на номинальное переменное напряжение 0,66 кВ номинальной частотой 50 Гц. </w:t>
            </w:r>
            <w:r>
              <w:rPr>
                <w:rStyle w:val="CharStyle20"/>
              </w:rPr>
              <w:t>Требование</w:t>
            </w:r>
            <w:r>
              <w:rPr>
                <w:rStyle w:val="CharStyle17"/>
              </w:rPr>
              <w:t xml:space="preserve"> кабель должен быть круглый с медными жилами с изоляцией из поливинилхлоридного пластиката в наружной оболочке из поливинилхлоридного пластиката, небронированный, без экрана, не распространяющий горение при групповой прокладке, с пониженным дымо- и газовыделением. </w:t>
            </w:r>
            <w:r>
              <w:rPr>
                <w:rStyle w:val="CharStyle20"/>
              </w:rPr>
              <w:t xml:space="preserve">Сечение жил кабеля </w:t>
            </w:r>
            <w:r>
              <w:rPr>
                <w:rStyle w:val="CharStyle17"/>
              </w:rPr>
              <w:t xml:space="preserve">должен иметь все жилы равного сечения. </w:t>
            </w:r>
            <w:r>
              <w:rPr>
                <w:rStyle w:val="CharStyle20"/>
              </w:rPr>
              <w:t>Изолированные жилы кабеля</w:t>
            </w:r>
            <w:r>
              <w:rPr>
                <w:rStyle w:val="CharStyle17"/>
              </w:rPr>
              <w:t xml:space="preserve"> должны иметь отличительную расцветку, должны быть скручены в сердечник. </w:t>
            </w:r>
            <w:r>
              <w:rPr>
                <w:rStyle w:val="CharStyle20"/>
              </w:rPr>
              <w:t>Цветовая маркировка</w:t>
            </w:r>
            <w:r>
              <w:rPr>
                <w:rStyle w:val="CharStyle17"/>
              </w:rPr>
              <w:t xml:space="preserve"> требуется сплошной и\или в виде продольной полосы. </w:t>
            </w:r>
            <w:r>
              <w:rPr>
                <w:rStyle w:val="CharStyle20"/>
              </w:rPr>
              <w:t>Конструктивное исполнение</w:t>
            </w:r>
            <w:r>
              <w:rPr>
                <w:rStyle w:val="CharStyle17"/>
              </w:rPr>
              <w:t xml:space="preserve"> токопроводящие жилы должны быть однопроволочные. </w:t>
            </w:r>
            <w:r>
              <w:rPr>
                <w:rStyle w:val="CharStyle20"/>
              </w:rPr>
              <w:t>Стойкость к навиванию</w:t>
            </w:r>
            <w:r>
              <w:rPr>
                <w:rStyle w:val="CharStyle17"/>
              </w:rPr>
              <w:t xml:space="preserve"> требуется. </w:t>
            </w:r>
            <w:r>
              <w:rPr>
                <w:rStyle w:val="CharStyle20"/>
              </w:rPr>
              <w:t>Стойкость к воздействию температуры окружающей среды</w:t>
            </w:r>
            <w:r>
              <w:rPr>
                <w:rStyle w:val="CharStyle17"/>
              </w:rPr>
              <w:t xml:space="preserve"> максимальное значение по повышенной температуре 50 </w:t>
            </w:r>
            <w:r>
              <w:rPr>
                <w:rStyle w:val="CharStyle17"/>
                <w:lang w:val="en-US" w:eastAsia="en-US" w:bidi="en-US"/>
              </w:rPr>
              <w:t xml:space="preserve">°C, </w:t>
            </w:r>
            <w:r>
              <w:rPr>
                <w:rStyle w:val="CharStyle17"/>
              </w:rPr>
              <w:t xml:space="preserve">минимальное значение по пониженной температуре минус 50 </w:t>
            </w:r>
            <w:r>
              <w:rPr>
                <w:rStyle w:val="CharStyle17"/>
                <w:lang w:val="en-US" w:eastAsia="en-US" w:bidi="en-US"/>
              </w:rPr>
              <w:t xml:space="preserve">°C. </w:t>
            </w:r>
            <w:r>
              <w:rPr>
                <w:rStyle w:val="CharStyle20"/>
              </w:rPr>
              <w:t xml:space="preserve">Изоляция и оболочка кабеля </w:t>
            </w:r>
            <w:r>
              <w:rPr>
                <w:rStyle w:val="CharStyle17"/>
              </w:rPr>
              <w:t xml:space="preserve">должны быть стойкими к растрескиванию при повышенной температуре. </w:t>
            </w:r>
            <w:r>
              <w:rPr>
                <w:rStyle w:val="CharStyle20"/>
              </w:rPr>
              <w:t>Номинальное сечение токопроводящих жил</w:t>
            </w:r>
            <w:r>
              <w:rPr>
                <w:rStyle w:val="CharStyle17"/>
              </w:rPr>
              <w:t xml:space="preserve"> 1,5 мм</w:t>
            </w:r>
            <w:r>
              <w:rPr>
                <w:rStyle w:val="CharStyle17"/>
                <w:vertAlign w:val="superscript"/>
              </w:rPr>
              <w:t>2</w:t>
            </w:r>
            <w:r>
              <w:rPr>
                <w:rStyle w:val="CharStyle17"/>
              </w:rPr>
              <w:t xml:space="preserve">. </w:t>
            </w:r>
            <w:r>
              <w:rPr>
                <w:rStyle w:val="CharStyle20"/>
              </w:rPr>
              <w:t>Число токопроводящих жил</w:t>
            </w:r>
            <w:r>
              <w:rPr>
                <w:rStyle w:val="CharStyle17"/>
              </w:rPr>
              <w:t xml:space="preserve"> 3. </w:t>
            </w:r>
            <w:r>
              <w:rPr>
                <w:rStyle w:val="CharStyle20"/>
              </w:rPr>
              <w:t>Номинальное переменное напряжение между каждой из основных токопроводящих жил и землей кабеля</w:t>
            </w:r>
            <w:r>
              <w:rPr>
                <w:rStyle w:val="CharStyle17"/>
              </w:rPr>
              <w:t xml:space="preserve"> не менее 0,38 кВ. </w:t>
            </w:r>
            <w:r>
              <w:rPr>
                <w:rStyle w:val="CharStyle20"/>
              </w:rPr>
              <w:t>Соответствие</w:t>
            </w:r>
            <w:r>
              <w:rPr>
                <w:rStyle w:val="CharStyle17"/>
              </w:rPr>
              <w:t xml:space="preserve"> кабель должен соответствовать требованиям государственных стандартов, регламентирующих данный вид продукции.</w:t>
            </w:r>
          </w:p>
        </w:tc>
      </w:tr>
      <w:tr>
        <w:trPr>
          <w:trHeight w:val="216" w:hRule="exact"/>
        </w:trPr>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763" w:wrap="notBeside" w:vAnchor="text" w:hAnchor="text" w:xAlign="center" w:y="1"/>
              <w:widowControl w:val="0"/>
              <w:rPr>
                <w:sz w:val="10"/>
                <w:szCs w:val="10"/>
              </w:rPr>
            </w:pPr>
          </w:p>
        </w:tc>
      </w:tr>
      <w:tr>
        <w:trPr>
          <w:trHeight w:val="3322"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91</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Блок</w:t>
            </w:r>
          </w:p>
        </w:tc>
        <w:tc>
          <w:tcPr>
            <w:shd w:val="clear" w:color="auto" w:fill="FFFFFF"/>
            <w:tcBorders>
              <w:left w:val="single" w:sz="4"/>
              <w:right w:val="single" w:sz="4"/>
              <w:top w:val="single" w:sz="4"/>
            </w:tcBorders>
            <w:vAlign w:val="bottom"/>
          </w:tcPr>
          <w:p>
            <w:pPr>
              <w:pStyle w:val="Style7"/>
              <w:framePr w:w="9763"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20"/>
              </w:rPr>
              <w:t>Описание</w:t>
            </w:r>
            <w:r>
              <w:rPr>
                <w:rStyle w:val="CharStyle17"/>
              </w:rPr>
              <w:t xml:space="preserve"> требуется блок сигнально-пусковой адресный для управления исполнительными устройствами (световыми табло, сиренами, видеокамерами, электромагнитными замками и проч.), а также средствами пожарной автоматики в системах газового, порошкового и аэрозольного пожаротушения. </w:t>
            </w:r>
            <w:r>
              <w:rPr>
                <w:rStyle w:val="CharStyle20"/>
              </w:rPr>
              <w:t xml:space="preserve">Назначение </w:t>
            </w:r>
            <w:r>
              <w:rPr>
                <w:rStyle w:val="CharStyle17"/>
              </w:rPr>
              <w:t xml:space="preserve">должен подходить для применения в системах пожарно-охранной сигнализации, поддерживающих двухпроводную линию связи. </w:t>
            </w:r>
            <w:r>
              <w:rPr>
                <w:rStyle w:val="CharStyle20"/>
              </w:rPr>
              <w:t>Режим работы</w:t>
            </w:r>
            <w:r>
              <w:rPr>
                <w:rStyle w:val="CharStyle17"/>
              </w:rPr>
              <w:t xml:space="preserve"> требуется круглосуточный. </w:t>
            </w:r>
            <w:r>
              <w:rPr>
                <w:rStyle w:val="CharStyle20"/>
              </w:rPr>
              <w:t>Контроль исправности цепей подключения исполнительных устройств</w:t>
            </w:r>
            <w:r>
              <w:rPr>
                <w:rStyle w:val="CharStyle17"/>
              </w:rPr>
              <w:t xml:space="preserve"> требуется (отдельно на обрыв и короткое замыкание). </w:t>
            </w:r>
            <w:r>
              <w:rPr>
                <w:rStyle w:val="CharStyle20"/>
              </w:rPr>
              <w:t>Световая индикация состояния</w:t>
            </w:r>
            <w:r>
              <w:rPr>
                <w:rStyle w:val="CharStyle17"/>
              </w:rPr>
              <w:t xml:space="preserve"> требуется каждого выхода. </w:t>
            </w:r>
            <w:r>
              <w:rPr>
                <w:rStyle w:val="CharStyle20"/>
              </w:rPr>
              <w:t>Источник питания</w:t>
            </w:r>
            <w:r>
              <w:rPr>
                <w:rStyle w:val="CharStyle17"/>
              </w:rPr>
              <w:t xml:space="preserve"> внешний постоянного напряжения не менее 10,2 В и не более 28,4 В для исполнительной части и двухпроводная линия связи для приемо-передающей части. </w:t>
            </w:r>
            <w:r>
              <w:rPr>
                <w:rStyle w:val="CharStyle20"/>
              </w:rPr>
              <w:t>Гальваническая развязка двухпроводной линии связи и исполнительной части до</w:t>
            </w:r>
            <w:r>
              <w:rPr>
                <w:rStyle w:val="CharStyle17"/>
              </w:rPr>
              <w:t xml:space="preserve"> 4 кВ. </w:t>
            </w:r>
            <w:r>
              <w:rPr>
                <w:rStyle w:val="CharStyle20"/>
              </w:rPr>
              <w:t>Количество выходов</w:t>
            </w:r>
            <w:r>
              <w:rPr>
                <w:rStyle w:val="CharStyle17"/>
              </w:rPr>
              <w:t xml:space="preserve"> 2. </w:t>
            </w:r>
            <w:r>
              <w:rPr>
                <w:rStyle w:val="CharStyle20"/>
              </w:rPr>
              <w:t>Максимальный коммутируемый ток одного выхода</w:t>
            </w:r>
            <w:r>
              <w:rPr>
                <w:rStyle w:val="CharStyle17"/>
              </w:rPr>
              <w:t xml:space="preserve"> 1А. </w:t>
            </w:r>
            <w:r>
              <w:rPr>
                <w:rStyle w:val="CharStyle20"/>
              </w:rPr>
              <w:t>Ток контроля исправности цепей, не более</w:t>
            </w:r>
            <w:r>
              <w:rPr>
                <w:rStyle w:val="CharStyle17"/>
              </w:rPr>
              <w:t xml:space="preserve"> 1,5мА. </w:t>
            </w:r>
            <w:r>
              <w:rPr>
                <w:rStyle w:val="CharStyle20"/>
              </w:rPr>
              <w:t xml:space="preserve">Датчик вскрытия корпуса </w:t>
            </w:r>
            <w:r>
              <w:rPr>
                <w:rStyle w:val="CharStyle17"/>
              </w:rPr>
              <w:t xml:space="preserve">должен быть в наличии. </w:t>
            </w:r>
            <w:r>
              <w:rPr>
                <w:rStyle w:val="CharStyle20"/>
              </w:rPr>
              <w:t xml:space="preserve">Готовность к работе после включения питания не более </w:t>
            </w:r>
            <w:r>
              <w:rPr>
                <w:rStyle w:val="CharStyle17"/>
              </w:rPr>
              <w:t xml:space="preserve">15 с. </w:t>
            </w:r>
            <w:r>
              <w:rPr>
                <w:rStyle w:val="CharStyle20"/>
              </w:rPr>
              <w:t>Тип монтажа</w:t>
            </w:r>
            <w:r>
              <w:rPr>
                <w:rStyle w:val="CharStyle17"/>
              </w:rPr>
              <w:t xml:space="preserve"> настенный навесной. </w:t>
            </w:r>
            <w:r>
              <w:rPr>
                <w:rStyle w:val="CharStyle20"/>
              </w:rPr>
              <w:t>Степень защиты корпуса</w:t>
            </w:r>
            <w:r>
              <w:rPr>
                <w:rStyle w:val="CharStyle17"/>
              </w:rPr>
              <w:t xml:space="preserve"> менее: 1Р30.</w:t>
            </w:r>
          </w:p>
        </w:tc>
      </w:tr>
      <w:tr>
        <w:trPr>
          <w:trHeight w:val="2290" w:hRule="exact"/>
        </w:trPr>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17"/>
              </w:rPr>
              <w:t>92</w:t>
            </w:r>
          </w:p>
        </w:tc>
        <w:tc>
          <w:tcPr>
            <w:shd w:val="clear" w:color="auto" w:fill="FFFFFF"/>
            <w:tcBorders>
              <w:lef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170" w:lineRule="exact"/>
              <w:ind w:left="20" w:right="0" w:firstLine="0"/>
            </w:pPr>
            <w:r>
              <w:rPr>
                <w:rStyle w:val="CharStyle20"/>
              </w:rPr>
              <w:t>Извещатель</w:t>
            </w:r>
          </w:p>
        </w:tc>
        <w:tc>
          <w:tcPr>
            <w:shd w:val="clear" w:color="auto" w:fill="FFFFFF"/>
            <w:tcBorders>
              <w:left w:val="single" w:sz="4"/>
              <w:right w:val="single" w:sz="4"/>
              <w:top w:val="single" w:sz="4"/>
            </w:tcBorders>
            <w:vAlign w:val="top"/>
          </w:tcPr>
          <w:p>
            <w:pPr>
              <w:pStyle w:val="Style7"/>
              <w:framePr w:w="9763" w:wrap="notBeside" w:vAnchor="text" w:hAnchor="text" w:xAlign="center" w:y="1"/>
              <w:widowControl w:val="0"/>
              <w:keepNext w:val="0"/>
              <w:keepLines w:val="0"/>
              <w:shd w:val="clear" w:color="auto" w:fill="auto"/>
              <w:bidi w:val="0"/>
              <w:jc w:val="left"/>
              <w:spacing w:before="0" w:after="0" w:line="206" w:lineRule="exact"/>
              <w:ind w:left="0" w:right="0" w:firstLine="0"/>
            </w:pPr>
            <w:r>
              <w:rPr>
                <w:rStyle w:val="CharStyle20"/>
              </w:rPr>
              <w:t>Описание</w:t>
            </w:r>
            <w:r>
              <w:rPr>
                <w:rStyle w:val="CharStyle17"/>
              </w:rPr>
              <w:t xml:space="preserve"> требуется пожарный тепловой максимально-дифференциальный адресно</w:t>
              <w:softHyphen/>
              <w:t xml:space="preserve">аналоговый извещатель для применения в системах пожарной сигнализации. </w:t>
            </w:r>
            <w:r>
              <w:rPr>
                <w:rStyle w:val="CharStyle20"/>
              </w:rPr>
              <w:t>Назначение</w:t>
            </w:r>
            <w:r>
              <w:rPr>
                <w:rStyle w:val="CharStyle17"/>
              </w:rPr>
              <w:t xml:space="preserve"> должен предназначаться для охраны объектов от пожаров путём контроля скорости нарастания температуры, превышения порогового значения и выдачи извещений «Пожар», «Внимание» или «Норма». </w:t>
            </w:r>
            <w:r>
              <w:rPr>
                <w:rStyle w:val="CharStyle20"/>
              </w:rPr>
              <w:t>Свойство</w:t>
            </w:r>
            <w:r>
              <w:rPr>
                <w:rStyle w:val="CharStyle17"/>
              </w:rPr>
              <w:t xml:space="preserve"> может передавать значение температуры окружающей среды в градусах Цельсия (по запросу), поддерживать протокол двухпроводной линии связи, получать значение напряжения двухпроводной линии связи в месте своего подключенияДиапазон </w:t>
            </w:r>
            <w:r>
              <w:rPr>
                <w:rStyle w:val="CharStyle20"/>
              </w:rPr>
              <w:t>измеряемой температуры</w:t>
            </w:r>
            <w:r>
              <w:rPr>
                <w:rStyle w:val="CharStyle17"/>
              </w:rPr>
              <w:t xml:space="preserve"> от - 30 до </w:t>
            </w:r>
            <w:r>
              <w:rPr>
                <w:rStyle w:val="CharStyle17"/>
                <w:lang w:val="en-US" w:eastAsia="en-US" w:bidi="en-US"/>
              </w:rPr>
              <w:t xml:space="preserve">+65°C. </w:t>
            </w:r>
            <w:r>
              <w:rPr>
                <w:rStyle w:val="CharStyle20"/>
              </w:rPr>
              <w:t>Время технической готовности извещателя</w:t>
            </w:r>
            <w:r>
              <w:rPr>
                <w:rStyle w:val="CharStyle17"/>
              </w:rPr>
              <w:t xml:space="preserve"> не более 60 с. </w:t>
            </w:r>
            <w:r>
              <w:rPr>
                <w:rStyle w:val="CharStyle20"/>
              </w:rPr>
              <w:t xml:space="preserve">Температура срабатывания от +54 до </w:t>
            </w:r>
            <w:r>
              <w:rPr>
                <w:rStyle w:val="CharStyle20"/>
                <w:lang w:val="en-US" w:eastAsia="en-US" w:bidi="en-US"/>
              </w:rPr>
              <w:t xml:space="preserve">+65°C. </w:t>
            </w:r>
            <w:r>
              <w:rPr>
                <w:rStyle w:val="CharStyle20"/>
              </w:rPr>
              <w:t>Степень защиты корпуса</w:t>
            </w:r>
            <w:r>
              <w:rPr>
                <w:rStyle w:val="CharStyle17"/>
              </w:rPr>
              <w:t xml:space="preserve"> более 1Р30. </w:t>
            </w:r>
            <w:r>
              <w:rPr>
                <w:rStyle w:val="CharStyle20"/>
              </w:rPr>
              <w:t xml:space="preserve">Тип монтажа </w:t>
            </w:r>
            <w:r>
              <w:rPr>
                <w:rStyle w:val="CharStyle17"/>
              </w:rPr>
              <w:t>потолочный.</w:t>
            </w:r>
          </w:p>
        </w:tc>
      </w:tr>
      <w:tr>
        <w:trPr>
          <w:trHeight w:val="240" w:hRule="exact"/>
        </w:trPr>
        <w:tc>
          <w:tcPr>
            <w:shd w:val="clear" w:color="auto" w:fill="FFFFFF"/>
            <w:tcBorders>
              <w:left w:val="single" w:sz="4"/>
              <w:top w:val="single" w:sz="4"/>
              <w:bottom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framePr w:w="9763"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763" w:wrap="notBeside" w:vAnchor="text" w:hAnchor="text" w:xAlign="center" w:y="1"/>
              <w:widowControl w:val="0"/>
              <w:rPr>
                <w:sz w:val="10"/>
                <w:szCs w:val="10"/>
              </w:rPr>
            </w:pPr>
          </w:p>
        </w:tc>
      </w:tr>
    </w:tbl>
    <w:p>
      <w:pPr>
        <w:widowControl w:val="0"/>
        <w:rPr>
          <w:sz w:val="2"/>
          <w:szCs w:val="2"/>
        </w:rPr>
      </w:pPr>
    </w:p>
    <w:p>
      <w:pPr>
        <w:pStyle w:val="Style7"/>
        <w:widowControl w:val="0"/>
        <w:keepNext w:val="0"/>
        <w:keepLines w:val="0"/>
        <w:shd w:val="clear" w:color="auto" w:fill="auto"/>
        <w:bidi w:val="0"/>
        <w:jc w:val="both"/>
        <w:spacing w:before="49" w:after="0" w:line="260" w:lineRule="exact"/>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line="326" w:lineRule="exact"/>
        <w:ind w:left="20" w:right="40" w:firstLine="860"/>
      </w:pPr>
      <w:r>
        <w:rPr>
          <w:lang w:val="ru-RU" w:eastAsia="ru-RU" w:bidi="ru-RU"/>
          <w:w w:val="100"/>
          <w:spacing w:val="0"/>
          <w:color w:val="000000"/>
          <w:position w:val="0"/>
        </w:rPr>
        <w:t>Документация об Аукционе содержит Инструкцию по заполнению первых частей заявок участников, согласно которой: «..</w:t>
      </w:r>
    </w:p>
    <w:p>
      <w:pPr>
        <w:pStyle w:val="Style21"/>
        <w:widowControl w:val="0"/>
        <w:keepNext w:val="0"/>
        <w:keepLines w:val="0"/>
        <w:shd w:val="clear" w:color="auto" w:fill="auto"/>
        <w:bidi w:val="0"/>
        <w:spacing w:before="0" w:after="22"/>
        <w:ind w:left="20" w:right="40" w:firstLine="860"/>
      </w:pPr>
      <w:r>
        <w:rPr>
          <w:lang w:val="ru-RU" w:eastAsia="ru-RU" w:bidi="ru-RU"/>
          <w:w w:val="100"/>
          <w:spacing w:val="0"/>
          <w:color w:val="000000"/>
          <w:position w:val="0"/>
        </w:rPr>
        <w:t xml:space="preserve">Характеристики могут сопровождаться словами или символами, определяющими максимальное и(или) минимальное из возможных, значение характеристики товара (далее по тексту - допустимый предел): «от», «до», «(не) менее», «(не) более», «(не) больше», «(не) меньше», «(не) уже», «(не) шире», «(не) выше», «(не) ниже», «(не) хуже», «лучше», «(не) превышать», «(не) превышает», «максимальное значение», «минимальное значение», «быстрее», </w:t>
      </w:r>
      <w:r>
        <w:rPr>
          <w:lang w:val="en-US" w:eastAsia="en-US" w:bidi="en-US"/>
          <w:w w:val="100"/>
          <w:spacing w:val="0"/>
          <w:color w:val="000000"/>
          <w:position w:val="0"/>
        </w:rPr>
        <w:t xml:space="preserve">«min», «max», </w:t>
      </w:r>
      <w:r>
        <w:rPr>
          <w:lang w:val="ru-RU" w:eastAsia="ru-RU" w:bidi="ru-RU"/>
          <w:w w:val="100"/>
          <w:spacing w:val="0"/>
          <w:color w:val="000000"/>
          <w:position w:val="0"/>
        </w:rPr>
        <w:t xml:space="preserve">«минимум», «максимум», «как минимум», «(не) короче», «(не) длиннее», «легче», «-», «...», «&gt;», «&lt;», «&lt;», «&gt;». Характеристики устанавливаются в следующем порядке - Наименование показателя; слово или символ, определяющие допустимый предел; предельное значение (минимальное и/или максимальное) показателя; единица измерения (при наличии). Участник должен указывать характеристики, соответствующие предлагаемому к использованию товару, без указания слов и символов, определяющих допустимый предел, учитывая при этом, что слова «не менее», «не более», «не больше», «не меньше», «не уже», «не шире», «не выше», «не ниже», «не хуже», «максимальное значение», «минимальное значение», </w:t>
      </w:r>
      <w:r>
        <w:rPr>
          <w:lang w:val="en-US" w:eastAsia="en-US" w:bidi="en-US"/>
          <w:w w:val="100"/>
          <w:spacing w:val="0"/>
          <w:color w:val="000000"/>
          <w:position w:val="0"/>
        </w:rPr>
        <w:t xml:space="preserve">«min», «max», </w:t>
      </w:r>
      <w:r>
        <w:rPr>
          <w:lang w:val="ru-RU" w:eastAsia="ru-RU" w:bidi="ru-RU"/>
          <w:w w:val="100"/>
          <w:spacing w:val="0"/>
          <w:color w:val="000000"/>
          <w:position w:val="0"/>
        </w:rPr>
        <w:t>«минимум», «максимум», «как минимум», «не короче», «не длиннее», «не превышать», «не превышает», «до», символы «-», «&gt;», «&lt;» подразумевают, что характеристика(-и), указанная(-ные) заказчиком, включена(-ы) в допустимый предел; слова «менее», «более», «больше», «меньше», «уже», «шире», «выше», «ниже», «хуже», «лучше», «превышать», «превышает», «быстрее», «короче», «длиннее», «легче», «от», символы «...», «&lt;», «&gt;» подразумевают, что характеристика(- и), указанная(-ные) заказчиком, не включена(-ы) в допустимый предел.</w:t>
      </w:r>
    </w:p>
    <w:p>
      <w:pPr>
        <w:pStyle w:val="Style7"/>
        <w:widowControl w:val="0"/>
        <w:keepNext w:val="0"/>
        <w:keepLines w:val="0"/>
        <w:shd w:val="clear" w:color="auto" w:fill="auto"/>
        <w:bidi w:val="0"/>
        <w:jc w:val="both"/>
        <w:spacing w:before="0" w:after="0"/>
        <w:ind w:left="20" w:right="0" w:firstLine="860"/>
      </w:pPr>
      <w:r>
        <w:rPr>
          <w:rStyle w:val="CharStyle23"/>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представители Заказчика пояснили, что Заявителем в составе своей первой части заявки под порядковым номером «7» представлены показатели товаров (материалов), используемых при выполнении работ противоречащие требованиям документации об Аукционе и Инструкции по заполнению первых частей заявок участников.</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Комиссия, изучив документацию об Аукционе, заявку с порядковым номером «7» (Заявитель), предоставленную представителями Заказчика, положения соответствующих ГОСТов, заслушав пояснения представителей Заказчика, приходит к выводу по совокупности об обоснованности действий Аукционной комиссии Заказчика по признанию заявки Заявителя не соответствующей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Комиссия приходит к выводу, что действия Аукционной комиссии Заказчика по рассмотрению заявки Заявителя не нарушают требования статей 66, 67 Закона о контрактной системе.</w:t>
      </w:r>
    </w:p>
    <w:p>
      <w:pPr>
        <w:pStyle w:val="Style7"/>
        <w:widowControl w:val="0"/>
        <w:keepNext w:val="0"/>
        <w:keepLines w:val="0"/>
        <w:shd w:val="clear" w:color="auto" w:fill="auto"/>
        <w:bidi w:val="0"/>
        <w:jc w:val="both"/>
        <w:spacing w:before="0" w:after="60"/>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7"/>
        <w:numPr>
          <w:ilvl w:val="0"/>
          <w:numId w:val="13"/>
        </w:numPr>
        <w:tabs>
          <w:tab w:leader="none" w:pos="1192"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3"/>
        </w:numPr>
        <w:tabs>
          <w:tab w:leader="none" w:pos="141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24"/>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24"/>
          <w:lang w:val="en-US" w:eastAsia="en-US" w:bidi="en-US"/>
        </w:rPr>
        <w:t xml:space="preserve">N </w:t>
      </w:r>
      <w:r>
        <w:rPr>
          <w:rStyle w:val="CharStyle24"/>
        </w:rPr>
        <w:t xml:space="preserve">570 и признании утратившим силу постановления Правительства Российской Федерации от 25 ноября 2013 г. </w:t>
      </w:r>
      <w:r>
        <w:rPr>
          <w:rStyle w:val="CharStyle24"/>
          <w:lang w:val="en-US" w:eastAsia="en-US" w:bidi="en-US"/>
        </w:rPr>
        <w:t xml:space="preserve">N </w:t>
      </w:r>
      <w:r>
        <w:rPr>
          <w:rStyle w:val="CharStyle24"/>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13"/>
        </w:numPr>
        <w:tabs>
          <w:tab w:leader="none" w:pos="1868" w:val="left"/>
          <w:tab w:leader="none" w:pos="3923"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 или ненадлежащего исполнения</w:t>
      </w:r>
    </w:p>
    <w:p>
      <w:pPr>
        <w:pStyle w:val="Style7"/>
        <w:tabs>
          <w:tab w:leader="none" w:pos="1868" w:val="left"/>
          <w:tab w:leader="none" w:pos="3923"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 обязательств, предусмотренных</w:t>
      </w:r>
    </w:p>
    <w:p>
      <w:pPr>
        <w:pStyle w:val="Style7"/>
        <w:tabs>
          <w:tab w:leader="none" w:pos="1868" w:val="left"/>
          <w:tab w:leader="none" w:pos="3923"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3"/>
        </w:numPr>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w:t>
        <w:tab/>
        <w:t>обязательств, предусмотренных</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3"/>
        </w:numPr>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w:t>
        <w:tab/>
        <w:t>обязательства, предусмотренного</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разделе 7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14"/>
        <w:numPr>
          <w:ilvl w:val="0"/>
          <w:numId w:val="15"/>
        </w:numPr>
        <w:widowControl w:val="0"/>
        <w:keepNext w:val="0"/>
        <w:keepLines w:val="0"/>
        <w:shd w:val="clear" w:color="auto" w:fill="auto"/>
        <w:bidi w:val="0"/>
        <w:jc w:val="both"/>
        <w:spacing w:before="0" w:after="0" w:line="206" w:lineRule="exact"/>
        <w:ind w:left="20" w:right="20" w:firstLine="860"/>
      </w:pPr>
      <w:r>
        <w:rPr>
          <w:lang w:val="ru-RU" w:eastAsia="ru-RU" w:bidi="ru-RU"/>
          <w:w w:val="100"/>
          <w:spacing w:val="0"/>
          <w:color w:val="000000"/>
          <w:position w:val="0"/>
        </w:rPr>
        <w:t xml:space="preserve"> В случае просрочки исполнения Государственным заказчиком обязательств, предусмотренных контрактом Подрядчик вправе потребовать уплаты неустоек в соответствии с действующим законодательством Российской Федерации;</w:t>
      </w:r>
    </w:p>
    <w:p>
      <w:pPr>
        <w:pStyle w:val="Style14"/>
        <w:numPr>
          <w:ilvl w:val="0"/>
          <w:numId w:val="17"/>
        </w:numPr>
        <w:tabs>
          <w:tab w:leader="underscore" w:pos="5089" w:val="right"/>
          <w:tab w:leader="underscore" w:pos="6500" w:val="left"/>
        </w:tabs>
        <w:widowControl w:val="0"/>
        <w:keepNext w:val="0"/>
        <w:keepLines w:val="0"/>
        <w:shd w:val="clear" w:color="auto" w:fill="auto"/>
        <w:bidi w:val="0"/>
        <w:jc w:val="both"/>
        <w:spacing w:before="0" w:after="0" w:line="206" w:lineRule="exact"/>
        <w:ind w:left="20" w:right="20" w:firstLine="860"/>
      </w:pPr>
      <w:r>
        <w:rPr>
          <w:lang w:val="ru-RU" w:eastAsia="ru-RU" w:bidi="ru-RU"/>
          <w:w w:val="100"/>
          <w:spacing w:val="0"/>
          <w:color w:val="000000"/>
          <w:position w:val="0"/>
        </w:rPr>
        <w:t xml:space="preserve">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и составляет</w:t>
        <w:tab/>
        <w:t>(</w:t>
        <w:tab/>
        <w:t>) рублей</w:t>
      </w:r>
      <w:r>
        <w:rPr>
          <w:lang w:val="ru-RU" w:eastAsia="ru-RU" w:bidi="ru-RU"/>
          <w:vertAlign w:val="superscript"/>
          <w:w w:val="100"/>
          <w:spacing w:val="0"/>
          <w:color w:val="000000"/>
          <w:position w:val="0"/>
        </w:rPr>
        <w:t>1</w:t>
      </w:r>
      <w:r>
        <w:rPr>
          <w:lang w:val="ru-RU" w:eastAsia="ru-RU" w:bidi="ru-RU"/>
          <w:w w:val="100"/>
          <w:spacing w:val="0"/>
          <w:color w:val="000000"/>
          <w:position w:val="0"/>
        </w:rPr>
        <w:t>.</w:t>
      </w:r>
    </w:p>
    <w:p>
      <w:pPr>
        <w:pStyle w:val="Style14"/>
        <w:numPr>
          <w:ilvl w:val="0"/>
          <w:numId w:val="15"/>
        </w:numPr>
        <w:tabs>
          <w:tab w:leader="none" w:pos="1297" w:val="left"/>
        </w:tabs>
        <w:widowControl w:val="0"/>
        <w:keepNext w:val="0"/>
        <w:keepLines w:val="0"/>
        <w:shd w:val="clear" w:color="auto" w:fill="auto"/>
        <w:bidi w:val="0"/>
        <w:jc w:val="both"/>
        <w:spacing w:before="0" w:after="0" w:line="206" w:lineRule="exact"/>
        <w:ind w:left="20" w:right="20" w:firstLine="860"/>
      </w:pPr>
      <w:r>
        <w:rPr>
          <w:lang w:val="ru-RU" w:eastAsia="ru-RU" w:bidi="ru-RU"/>
          <w:w w:val="100"/>
          <w:spacing w:val="0"/>
          <w:color w:val="000000"/>
          <w:position w:val="0"/>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Государственный заказчик направляет Подрядчику требование об уплате неустоек (пеней, штрафов).</w:t>
      </w:r>
    </w:p>
    <w:p>
      <w:pPr>
        <w:pStyle w:val="Style14"/>
        <w:numPr>
          <w:ilvl w:val="0"/>
          <w:numId w:val="19"/>
        </w:numPr>
        <w:widowControl w:val="0"/>
        <w:keepNext w:val="0"/>
        <w:keepLines w:val="0"/>
        <w:shd w:val="clear" w:color="auto" w:fill="auto"/>
        <w:bidi w:val="0"/>
        <w:jc w:val="both"/>
        <w:spacing w:before="0" w:after="259" w:line="206"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Подрядчиком обязательства, предусмотренного контрактом, в том числе, если Подрядчик не приступил к исполнению контракта в установленные сроки, равно как и в случае нарушения Подрядчиком сроков выполнения работ, и в случае нарушения установленных Государственным заказчиком сроков устранения обнаруженных им недостатков работ, 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начиная со дня, следующего после дня истечения установленного контрактом срока исполнения обязательства, а также сроков устранения обнаруженных недостатков.</w:t>
      </w:r>
    </w:p>
    <w:p>
      <w:pPr>
        <w:pStyle w:val="Style5"/>
        <w:widowControl w:val="0"/>
        <w:keepNext w:val="0"/>
        <w:keepLines w:val="0"/>
        <w:shd w:val="clear" w:color="auto" w:fill="auto"/>
        <w:bidi w:val="0"/>
        <w:jc w:val="left"/>
        <w:spacing w:before="0" w:after="0"/>
        <w:ind w:left="20" w:right="0" w:firstLine="0"/>
      </w:pPr>
      <w:r>
        <w:rPr>
          <w:lang w:val="ru-RU" w:eastAsia="ru-RU" w:bidi="ru-RU"/>
          <w:vertAlign w:val="superscript"/>
          <w:w w:val="100"/>
          <w:spacing w:val="0"/>
          <w:color w:val="000000"/>
          <w:position w:val="0"/>
        </w:rPr>
        <w:t>[</w:t>
      </w:r>
      <w:r>
        <w:rPr>
          <w:lang w:val="ru-RU" w:eastAsia="ru-RU" w:bidi="ru-RU"/>
          <w:w w:val="100"/>
          <w:spacing w:val="0"/>
          <w:color w:val="000000"/>
          <w:position w:val="0"/>
        </w:rPr>
        <w:t>а) 1000 рублей, если цена контракта не превышает 3 млн. рублей (включительно);</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 100000 рублей, если цена контракта превышает 100 млн. рублей.</w:t>
      </w:r>
    </w:p>
    <w:p>
      <w:pPr>
        <w:pStyle w:val="Style14"/>
        <w:numPr>
          <w:ilvl w:val="0"/>
          <w:numId w:val="19"/>
        </w:numPr>
        <w:tabs>
          <w:tab w:leader="none" w:pos="1410" w:val="left"/>
        </w:tabs>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w:t>
      </w:r>
    </w:p>
    <w:p>
      <w:pPr>
        <w:pStyle w:val="Style14"/>
        <w:tabs>
          <w:tab w:leader="underscore" w:pos="10220" w:val="left"/>
        </w:tabs>
        <w:widowControl w:val="0"/>
        <w:keepNext w:val="0"/>
        <w:keepLines w:val="0"/>
        <w:shd w:val="clear" w:color="auto" w:fill="auto"/>
        <w:bidi w:val="0"/>
        <w:jc w:val="both"/>
        <w:spacing w:before="0" w:after="0" w:line="206" w:lineRule="exact"/>
        <w:ind w:left="20" w:right="0" w:firstLine="0"/>
      </w:pPr>
      <w:r>
        <w:rPr>
          <w:lang w:val="ru-RU" w:eastAsia="ru-RU" w:bidi="ru-RU"/>
          <w:w w:val="100"/>
          <w:spacing w:val="0"/>
          <w:color w:val="000000"/>
          <w:position w:val="0"/>
        </w:rPr>
        <w:t xml:space="preserve">контрактом, размер штрафа устанавливается в виде фиксированной суммы и составляет </w:t>
        <w:tab/>
      </w:r>
    </w:p>
    <w:p>
      <w:pPr>
        <w:pStyle w:val="Style14"/>
        <w:tabs>
          <w:tab w:leader="underscore" w:pos="2026" w:val="right"/>
          <w:tab w:leader="none" w:pos="2698" w:val="right"/>
        </w:tabs>
        <w:widowControl w:val="0"/>
        <w:keepNext w:val="0"/>
        <w:keepLines w:val="0"/>
        <w:shd w:val="clear" w:color="auto" w:fill="auto"/>
        <w:bidi w:val="0"/>
        <w:jc w:val="both"/>
        <w:spacing w:before="0" w:after="0" w:line="206" w:lineRule="exact"/>
        <w:ind w:left="20" w:right="0" w:firstLine="0"/>
      </w:pPr>
      <w:r>
        <w:rPr>
          <w:lang w:val="ru-RU" w:eastAsia="ru-RU" w:bidi="ru-RU"/>
          <w:w w:val="100"/>
          <w:spacing w:val="0"/>
          <w:color w:val="000000"/>
          <w:position w:val="0"/>
        </w:rPr>
        <w:t>(</w:t>
        <w:tab/>
        <w:t>)</w:t>
        <w:tab/>
        <w:t>рублей.</w:t>
      </w:r>
      <w:r>
        <w:rPr>
          <w:lang w:val="ru-RU" w:eastAsia="ru-RU" w:bidi="ru-RU"/>
          <w:vertAlign w:val="superscript"/>
          <w:w w:val="100"/>
          <w:spacing w:val="0"/>
          <w:color w:val="000000"/>
          <w:position w:val="0"/>
        </w:rPr>
        <w:t>2</w:t>
      </w:r>
    </w:p>
    <w:p>
      <w:pPr>
        <w:pStyle w:val="Style14"/>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7.2.3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Общая сумма начисленной неустойки (штрафов, пени) за ненадлежащее исполнение Государственным заказчиком обязательств, предусмотренных контрактом, не может превышать цену контракта.</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Подрядчик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pPr>
        <w:pStyle w:val="Style14"/>
        <w:numPr>
          <w:ilvl w:val="0"/>
          <w:numId w:val="15"/>
        </w:numPr>
        <w:widowControl w:val="0"/>
        <w:keepNext w:val="0"/>
        <w:keepLines w:val="0"/>
        <w:shd w:val="clear" w:color="auto" w:fill="auto"/>
        <w:bidi w:val="0"/>
        <w:jc w:val="both"/>
        <w:spacing w:before="0" w:after="0" w:line="206" w:lineRule="exact"/>
        <w:ind w:left="20" w:right="0" w:firstLine="840"/>
      </w:pPr>
      <w:r>
        <w:rPr>
          <w:lang w:val="ru-RU" w:eastAsia="ru-RU" w:bidi="ru-RU"/>
          <w:w w:val="100"/>
          <w:spacing w:val="0"/>
          <w:color w:val="000000"/>
          <w:position w:val="0"/>
        </w:rPr>
        <w:t xml:space="preserve"> Удержание неустоек не освобождает Подрядчика от исполнения обязательств по контракту;</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В случае если Подрядчиком внесены в качестве обеспечения исполнения обязательств по контракту денежные средства и Подрядчиком нарушены обязательства по контракту неисполнением или ненадлежащим исполнением обязательств, Государственный заказчик без обращения в суд удерживает сумму неустойки с внесенной суммы в качестве обеспечения исполнения обязательств по контракту.</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При неисполнении Подрядчиком в назначенный срок требования об устранении недостатков выполненных Работ, Подрядчик обязан по требованию Государственного заказчика возместить Государственному заказчику расходы, понесенные им на устранение недостатков выполненных Подрядчиком работ.</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В случае причинения ущерба ненадлежащим выполнением Работ (залитие, возгорание помещений и иные повреждения Объекта) Подрядчик своими силами и за свой счет в разумные сроки выполняет все необходимые работы по устранению последствий ненадлежащего выполнения работ.</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В случае несоблюдения требований, указанных в п. 5.4.7 настоящего Контракта, Подрядчик возмещает Государственному заказчику убытки, понесенные им в связи с устранением недостатков и дефектов в полном объеме.</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В случае причинения вреда здоровью (включая случаи со смертельным исходом) и/или ущерба третьим лицам при выполнении работ, вследствие нарушений, допущенных в процессе производства работ, и/или в течение гарантийного срока, указанного в пункте 6.3. настоящего Контракта, ответственность перед третьими лицами несет Подрядчик в полном объеме.</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В случае неисполнения либо ненадлежащего исполнения обязательств, предусмотренных контрактом, Государственный заказчик производит оплату по Контракту за вычетом соответствующего размера неустойки (штрафа, пени).</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Государственный заказчик не несет ответственности за несвоевременную оплату выполненных Работ в случаях представления Подрядчиком неправильно оформленной и/или несвоевременно представленной Подрядчиком отчетной документации.</w:t>
      </w:r>
    </w:p>
    <w:p>
      <w:pPr>
        <w:pStyle w:val="Style14"/>
        <w:numPr>
          <w:ilvl w:val="0"/>
          <w:numId w:val="15"/>
        </w:numPr>
        <w:widowControl w:val="0"/>
        <w:keepNext w:val="0"/>
        <w:keepLines w:val="0"/>
        <w:shd w:val="clear" w:color="auto" w:fill="auto"/>
        <w:bidi w:val="0"/>
        <w:jc w:val="both"/>
        <w:spacing w:before="0" w:after="0" w:line="206" w:lineRule="exact"/>
        <w:ind w:left="20" w:right="20" w:firstLine="840"/>
      </w:pPr>
      <w:r>
        <w:rPr>
          <w:lang w:val="ru-RU" w:eastAsia="ru-RU" w:bidi="ru-RU"/>
          <w:w w:val="100"/>
          <w:spacing w:val="0"/>
          <w:color w:val="000000"/>
          <w:position w:val="0"/>
        </w:rPr>
        <w:t xml:space="preserve"> Государственный заказчик не несет ответственности за сохранность материалов, конструкций и изделий, оборудования, используемых Подрядчиком на Объекте.</w:t>
      </w:r>
    </w:p>
    <w:p>
      <w:pPr>
        <w:pStyle w:val="Style7"/>
        <w:widowControl w:val="0"/>
        <w:keepNext w:val="0"/>
        <w:keepLines w:val="0"/>
        <w:shd w:val="clear" w:color="auto" w:fill="auto"/>
        <w:bidi w:val="0"/>
        <w:jc w:val="left"/>
        <w:spacing w:before="0" w:after="0" w:line="317" w:lineRule="exact"/>
        <w:ind w:left="600" w:right="0" w:firstLine="0"/>
      </w:pPr>
      <w:r>
        <w:rPr>
          <w:rStyle w:val="CharStyle23"/>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в соответствии с пунктом 5 Правил от</w:t>
      </w:r>
    </w:p>
    <w:p>
      <w:pPr>
        <w:pStyle w:val="Style7"/>
        <w:numPr>
          <w:ilvl w:val="0"/>
          <w:numId w:val="21"/>
        </w:numPr>
        <w:tabs>
          <w:tab w:leader="none" w:pos="1410" w:val="left"/>
        </w:tabs>
        <w:widowControl w:val="0"/>
        <w:keepNext w:val="0"/>
        <w:keepLines w:val="0"/>
        <w:shd w:val="clear" w:color="auto" w:fill="auto"/>
        <w:bidi w:val="0"/>
        <w:jc w:val="both"/>
        <w:spacing w:before="0" w:after="518" w:line="317" w:lineRule="exact"/>
        <w:ind w:left="20" w:right="20" w:firstLine="0"/>
      </w:pPr>
      <w:r>
        <w:rPr>
          <w:lang w:val="ru-RU" w:eastAsia="ru-RU" w:bidi="ru-RU"/>
          <w:w w:val="100"/>
          <w:spacing w:val="0"/>
          <w:color w:val="000000"/>
          <w:position w:val="0"/>
        </w:rPr>
        <w:t>№ 1042, нарушают требования частей 5, 7, 8 статьи 34 Закона о контрактной системе, пункта 5 Правил от 30.08.2017 № 1042 и содержат признаки состава административного правонарушения, ответственность за которое</w:t>
      </w:r>
    </w:p>
    <w:p>
      <w:pPr>
        <w:pStyle w:val="Style27"/>
        <w:widowControl w:val="0"/>
        <w:keepNext w:val="0"/>
        <w:keepLines w:val="0"/>
        <w:shd w:val="clear" w:color="auto" w:fill="auto"/>
        <w:bidi w:val="0"/>
        <w:spacing w:before="0" w:after="0" w:line="120" w:lineRule="exact"/>
        <w:ind w:left="20" w:right="0" w:firstLine="0"/>
      </w:pPr>
      <w:r>
        <w:rPr>
          <w:lang w:val="ru-RU" w:eastAsia="ru-RU" w:bidi="ru-RU"/>
          <w:w w:val="100"/>
          <w:spacing w:val="0"/>
          <w:color w:val="000000"/>
          <w:position w:val="0"/>
        </w:rPr>
        <w:t>2</w:t>
      </w:r>
    </w:p>
    <w:p>
      <w:pPr>
        <w:pStyle w:val="Style5"/>
        <w:widowControl w:val="0"/>
        <w:keepNext w:val="0"/>
        <w:keepLines w:val="0"/>
        <w:shd w:val="clear" w:color="auto" w:fill="auto"/>
        <w:bidi w:val="0"/>
        <w:jc w:val="left"/>
        <w:spacing w:before="0" w:after="0"/>
        <w:ind w:left="180" w:right="0" w:firstLine="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widowControl w:val="0"/>
        <w:keepNext w:val="0"/>
        <w:keepLines w:val="0"/>
        <w:shd w:val="clear" w:color="auto" w:fill="auto"/>
        <w:bidi w:val="0"/>
        <w:jc w:val="both"/>
        <w:spacing w:before="0" w:after="56" w:line="317" w:lineRule="exact"/>
        <w:ind w:left="20" w:right="20" w:firstLine="0"/>
      </w:pPr>
      <w:r>
        <w:rPr>
          <w:lang w:val="ru-RU" w:eastAsia="ru-RU" w:bidi="ru-RU"/>
          <w:w w:val="100"/>
          <w:spacing w:val="0"/>
          <w:color w:val="000000"/>
          <w:position w:val="0"/>
        </w:rPr>
        <w:t>предусмотрена частью 4.2 статьи 7.30 Кодекса Российской Федерации об административных правонарушениях.</w:t>
      </w:r>
    </w:p>
    <w:p>
      <w:pPr>
        <w:pStyle w:val="Style7"/>
        <w:numPr>
          <w:ilvl w:val="0"/>
          <w:numId w:val="23"/>
        </w:numPr>
        <w:tabs>
          <w:tab w:leader="none" w:pos="141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pPr>
        <w:pStyle w:val="Style10"/>
        <w:widowControl w:val="0"/>
        <w:keepNext w:val="0"/>
        <w:keepLines w:val="0"/>
        <w:shd w:val="clear" w:color="auto" w:fill="auto"/>
        <w:bidi w:val="0"/>
        <w:jc w:val="both"/>
        <w:spacing w:before="0" w:after="0"/>
        <w:ind w:left="20" w:right="20" w:firstLine="860"/>
      </w:pPr>
      <w:r>
        <w:rPr>
          <w:rStyle w:val="CharStyle29"/>
          <w:b w:val="0"/>
          <w:bCs w:val="0"/>
        </w:rPr>
        <w:t xml:space="preserve">Указанная норма закреплена Заказчиком в части 12.3 раздела 12 </w:t>
      </w:r>
      <w:r>
        <w:rPr>
          <w:lang w:val="ru-RU" w:eastAsia="ru-RU" w:bidi="ru-RU"/>
          <w:w w:val="100"/>
          <w:spacing w:val="0"/>
          <w:color w:val="000000"/>
          <w:position w:val="0"/>
        </w:rPr>
        <w:t xml:space="preserve">Размер, срок и порядок предоставления обеспечения исполнения контракта, требования к обеспечению исполнения контракта </w:t>
      </w:r>
      <w:r>
        <w:rPr>
          <w:rStyle w:val="CharStyle29"/>
          <w:b w:val="0"/>
          <w:bCs w:val="0"/>
        </w:rPr>
        <w:t xml:space="preserve">документации об Аукционе и: </w:t>
      </w:r>
      <w:r>
        <w:rPr>
          <w:rStyle w:val="CharStyle30"/>
          <w:b w:val="0"/>
          <w:bCs w:val="0"/>
        </w:rPr>
        <w:t>«...</w:t>
      </w:r>
    </w:p>
    <w:p>
      <w:pPr>
        <w:pStyle w:val="Style21"/>
        <w:widowControl w:val="0"/>
        <w:keepNext w:val="0"/>
        <w:keepLines w:val="0"/>
        <w:shd w:val="clear" w:color="auto" w:fill="auto"/>
        <w:bidi w:val="0"/>
        <w:spacing w:before="0" w:after="0" w:line="250" w:lineRule="exact"/>
        <w:ind w:left="20" w:right="0" w:firstLine="860"/>
      </w:pPr>
      <w:r>
        <w:rPr>
          <w:lang w:val="ru-RU" w:eastAsia="ru-RU" w:bidi="ru-RU"/>
          <w:w w:val="100"/>
          <w:spacing w:val="0"/>
          <w:color w:val="000000"/>
          <w:position w:val="0"/>
        </w:rPr>
        <w:t>12.3. Банковская гарантия:</w:t>
      </w:r>
    </w:p>
    <w:p>
      <w:pPr>
        <w:pStyle w:val="Style21"/>
        <w:numPr>
          <w:ilvl w:val="0"/>
          <w:numId w:val="25"/>
        </w:numPr>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 xml:space="preserve"> В качестве обеспечения исполнения контракта заказчиком принимаются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pPr>
        <w:pStyle w:val="Style21"/>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Банковская гарантия, предоставляемая участником электронного аукциона в качестве обеспечения исполнения контракта, должна быть включена в реестр банковских гарантий, размещенный в единой информационной системе.</w:t>
      </w:r>
    </w:p>
    <w:p>
      <w:pPr>
        <w:pStyle w:val="Style21"/>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Банковская гарантия оформляется в письменной форме на бумажном носителе или в форме электронного документа с учетом требований, установленных законодательством Российской Федерации.</w:t>
      </w:r>
    </w:p>
    <w:p>
      <w:pPr>
        <w:pStyle w:val="Style21"/>
        <w:numPr>
          <w:ilvl w:val="0"/>
          <w:numId w:val="25"/>
        </w:numPr>
        <w:widowControl w:val="0"/>
        <w:keepNext w:val="0"/>
        <w:keepLines w:val="0"/>
        <w:shd w:val="clear" w:color="auto" w:fill="auto"/>
        <w:bidi w:val="0"/>
        <w:spacing w:before="0" w:after="0" w:line="250" w:lineRule="exact"/>
        <w:ind w:left="20" w:right="0" w:firstLine="860"/>
      </w:pPr>
      <w:r>
        <w:rPr>
          <w:lang w:val="ru-RU" w:eastAsia="ru-RU" w:bidi="ru-RU"/>
          <w:w w:val="100"/>
          <w:spacing w:val="0"/>
          <w:color w:val="000000"/>
          <w:position w:val="0"/>
        </w:rPr>
        <w:t xml:space="preserve"> Банковская гарантия должна быть безотзывной и должна содержать:</w:t>
      </w:r>
    </w:p>
    <w:p>
      <w:pPr>
        <w:pStyle w:val="Style21"/>
        <w:numPr>
          <w:ilvl w:val="0"/>
          <w:numId w:val="27"/>
        </w:numPr>
        <w:tabs>
          <w:tab w:leader="none" w:pos="1182" w:val="left"/>
        </w:tabs>
        <w:widowControl w:val="0"/>
        <w:keepNext w:val="0"/>
        <w:keepLines w:val="0"/>
        <w:shd w:val="clear" w:color="auto" w:fill="auto"/>
        <w:bidi w:val="0"/>
        <w:spacing w:before="0" w:after="0" w:line="250" w:lineRule="exact"/>
        <w:ind w:left="20" w:right="20" w:firstLine="860"/>
      </w:pPr>
      <w:r>
        <w:rPr>
          <w:lang w:val="ru-RU" w:eastAsia="ru-RU" w:bidi="ru-RU"/>
          <w:w w:val="100"/>
          <w:spacing w:val="0"/>
          <w:color w:val="000000"/>
          <w:position w:val="0"/>
        </w:rPr>
        <w:t>сумму банковской гарантии, подлежащую уплате гарантом заказчику в случае ненадлежащего исполнения обязательств по контракту;</w:t>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обязательства принципала, надлежащее исполнение которых обеспечивается банковской гарантией.</w:t>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обязанность гаранта уплатить заказчику неустойку в размере 0,1 процента денежной суммы, подлежащей уплате, за каждый день просрочки;</w:t>
      </w:r>
    </w:p>
    <w:p>
      <w:pPr>
        <w:pStyle w:val="Style21"/>
        <w:numPr>
          <w:ilvl w:val="0"/>
          <w:numId w:val="27"/>
        </w:numPr>
        <w:widowControl w:val="0"/>
        <w:keepNext w:val="0"/>
        <w:keepLines w:val="0"/>
        <w:shd w:val="clear" w:color="auto" w:fill="auto"/>
        <w:bidi w:val="0"/>
        <w:spacing w:before="0" w:after="180" w:line="250" w:lineRule="exact"/>
        <w:ind w:left="0" w:right="20" w:firstLine="860"/>
      </w:pPr>
      <w:r>
        <w:rPr>
          <w:lang w:val="ru-RU" w:eastAsia="ru-RU" w:bidi="ru-RU"/>
          <w:w w:val="100"/>
          <w:spacing w:val="0"/>
          <w:color w:val="000000"/>
          <w:position w:val="0"/>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21"/>
        <w:widowControl w:val="0"/>
        <w:keepNext w:val="0"/>
        <w:keepLines w:val="0"/>
        <w:shd w:val="clear" w:color="auto" w:fill="auto"/>
        <w:bidi w:val="0"/>
        <w:spacing w:before="0" w:after="0" w:line="250" w:lineRule="exact"/>
        <w:ind w:left="0" w:right="0" w:firstLine="860"/>
      </w:pPr>
      <w:r>
        <w:rPr>
          <w:lang w:val="ru-RU" w:eastAsia="ru-RU" w:bidi="ru-RU"/>
          <w:w w:val="100"/>
          <w:spacing w:val="0"/>
          <w:color w:val="000000"/>
          <w:position w:val="0"/>
        </w:rPr>
        <w:t>Получатель:</w:t>
      </w:r>
    </w:p>
    <w:p>
      <w:pPr>
        <w:pStyle w:val="Style21"/>
        <w:widowControl w:val="0"/>
        <w:keepNext w:val="0"/>
        <w:keepLines w:val="0"/>
        <w:shd w:val="clear" w:color="auto" w:fill="auto"/>
        <w:bidi w:val="0"/>
        <w:jc w:val="left"/>
        <w:spacing w:before="0" w:after="0" w:line="250" w:lineRule="exact"/>
        <w:ind w:left="0" w:right="360" w:firstLine="860"/>
      </w:pPr>
      <w:r>
        <w:rPr>
          <w:lang w:val="ru-RU" w:eastAsia="ru-RU" w:bidi="ru-RU"/>
          <w:w w:val="100"/>
          <w:spacing w:val="0"/>
          <w:color w:val="000000"/>
          <w:position w:val="0"/>
        </w:rPr>
        <w:t xml:space="preserve">УФК по Республике Крым (филиал ФКУЗ «Санаторий «Алупка» МВД России» «Дружба», </w:t>
      </w:r>
      <w:r>
        <w:rPr>
          <w:rStyle w:val="CharStyle31"/>
        </w:rPr>
        <w:t xml:space="preserve">л/сч. </w:t>
      </w:r>
      <w:r>
        <w:rPr>
          <w:lang w:val="ru-RU" w:eastAsia="ru-RU" w:bidi="ru-RU"/>
          <w:w w:val="100"/>
          <w:spacing w:val="0"/>
          <w:color w:val="000000"/>
          <w:position w:val="0"/>
        </w:rPr>
        <w:t>05751А94510)</w:t>
      </w:r>
    </w:p>
    <w:p>
      <w:pPr>
        <w:pStyle w:val="Style21"/>
        <w:widowControl w:val="0"/>
        <w:keepNext w:val="0"/>
        <w:keepLines w:val="0"/>
        <w:shd w:val="clear" w:color="auto" w:fill="auto"/>
        <w:bidi w:val="0"/>
        <w:spacing w:before="0" w:after="0" w:line="250" w:lineRule="exact"/>
        <w:ind w:left="0" w:right="0" w:firstLine="860"/>
      </w:pPr>
      <w:r>
        <w:rPr>
          <w:rStyle w:val="CharStyle31"/>
        </w:rPr>
        <w:t xml:space="preserve">р/с </w:t>
      </w:r>
      <w:r>
        <w:rPr>
          <w:lang w:val="ru-RU" w:eastAsia="ru-RU" w:bidi="ru-RU"/>
          <w:w w:val="100"/>
          <w:spacing w:val="0"/>
          <w:color w:val="000000"/>
          <w:position w:val="0"/>
        </w:rPr>
        <w:t>40302810635101000001 в отделение Республика Крым г. Симферополь</w:t>
      </w:r>
    </w:p>
    <w:p>
      <w:pPr>
        <w:pStyle w:val="Style21"/>
        <w:widowControl w:val="0"/>
        <w:keepNext w:val="0"/>
        <w:keepLines w:val="0"/>
        <w:shd w:val="clear" w:color="auto" w:fill="auto"/>
        <w:bidi w:val="0"/>
        <w:spacing w:before="0" w:after="0" w:line="250" w:lineRule="exact"/>
        <w:ind w:left="0" w:right="0" w:firstLine="860"/>
      </w:pPr>
      <w:r>
        <w:rPr>
          <w:rStyle w:val="CharStyle31"/>
        </w:rPr>
        <w:t xml:space="preserve">БИК </w:t>
      </w:r>
      <w:r>
        <w:rPr>
          <w:lang w:val="ru-RU" w:eastAsia="ru-RU" w:bidi="ru-RU"/>
          <w:w w:val="100"/>
          <w:spacing w:val="0"/>
          <w:color w:val="000000"/>
          <w:position w:val="0"/>
        </w:rPr>
        <w:t>43510001</w:t>
      </w:r>
    </w:p>
    <w:p>
      <w:pPr>
        <w:pStyle w:val="Style21"/>
        <w:widowControl w:val="0"/>
        <w:keepNext w:val="0"/>
        <w:keepLines w:val="0"/>
        <w:shd w:val="clear" w:color="auto" w:fill="auto"/>
        <w:bidi w:val="0"/>
        <w:spacing w:before="0" w:after="0" w:line="250" w:lineRule="exact"/>
        <w:ind w:left="0" w:right="0" w:firstLine="860"/>
      </w:pPr>
      <w:r>
        <w:rPr>
          <w:rStyle w:val="CharStyle31"/>
        </w:rPr>
        <w:t xml:space="preserve">ИНН </w:t>
      </w:r>
      <w:r>
        <w:rPr>
          <w:lang w:val="ru-RU" w:eastAsia="ru-RU" w:bidi="ru-RU"/>
          <w:w w:val="100"/>
          <w:spacing w:val="0"/>
          <w:color w:val="000000"/>
          <w:position w:val="0"/>
        </w:rPr>
        <w:t>9103003183</w:t>
      </w:r>
    </w:p>
    <w:p>
      <w:pPr>
        <w:pStyle w:val="Style21"/>
        <w:widowControl w:val="0"/>
        <w:keepNext w:val="0"/>
        <w:keepLines w:val="0"/>
        <w:shd w:val="clear" w:color="auto" w:fill="auto"/>
        <w:bidi w:val="0"/>
        <w:spacing w:before="0" w:after="0" w:line="250" w:lineRule="exact"/>
        <w:ind w:left="0" w:right="0" w:firstLine="860"/>
      </w:pPr>
      <w:r>
        <w:rPr>
          <w:rStyle w:val="CharStyle31"/>
        </w:rPr>
        <w:t xml:space="preserve">КПП </w:t>
      </w:r>
      <w:r>
        <w:rPr>
          <w:lang w:val="ru-RU" w:eastAsia="ru-RU" w:bidi="ru-RU"/>
          <w:w w:val="100"/>
          <w:spacing w:val="0"/>
          <w:color w:val="000000"/>
          <w:position w:val="0"/>
        </w:rPr>
        <w:t>910143001</w:t>
      </w:r>
    </w:p>
    <w:p>
      <w:pPr>
        <w:pStyle w:val="Style21"/>
        <w:widowControl w:val="0"/>
        <w:keepNext w:val="0"/>
        <w:keepLines w:val="0"/>
        <w:shd w:val="clear" w:color="auto" w:fill="auto"/>
        <w:bidi w:val="0"/>
        <w:spacing w:before="0" w:after="0" w:line="250" w:lineRule="exact"/>
        <w:ind w:left="0" w:right="0" w:firstLine="860"/>
      </w:pPr>
      <w:r>
        <w:rPr>
          <w:rStyle w:val="CharStyle31"/>
        </w:rPr>
        <w:t xml:space="preserve">ОКПО </w:t>
      </w:r>
      <w:r>
        <w:rPr>
          <w:lang w:val="ru-RU" w:eastAsia="ru-RU" w:bidi="ru-RU"/>
          <w:w w:val="100"/>
          <w:spacing w:val="0"/>
          <w:color w:val="000000"/>
          <w:position w:val="0"/>
        </w:rPr>
        <w:t>08678575</w:t>
      </w:r>
    </w:p>
    <w:p>
      <w:pPr>
        <w:pStyle w:val="Style21"/>
        <w:tabs>
          <w:tab w:leader="underscore" w:pos="1325" w:val="left"/>
          <w:tab w:leader="underscore" w:pos="2779" w:val="right"/>
          <w:tab w:leader="underscore" w:pos="3230" w:val="center"/>
          <w:tab w:leader="none" w:pos="3504" w:val="center"/>
          <w:tab w:leader="underscore" w:pos="4882" w:val="left"/>
        </w:tabs>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в тексте указать: обеспечение исполнения государственного контракта на выполнение </w:t>
        <w:tab/>
        <w:t>от</w:t>
        <w:tab/>
        <w:t>20</w:t>
        <w:tab/>
        <w:t>г.</w:t>
        <w:tab/>
        <w:t>№</w:t>
        <w:tab/>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срок действия банковской гарантии, предоставленной в качестве обеспечения исполнения контракта (должен превышать срок действия контракта не менее чем на один месяц);</w:t>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перечень </w:t>
      </w:r>
      <w:r>
        <w:rPr>
          <w:lang w:val="ru-RU" w:eastAsia="ru-RU" w:bidi="ru-RU"/>
          <w:w w:val="100"/>
          <w:spacing w:val="0"/>
          <w:color w:val="000000"/>
          <w:position w:val="0"/>
        </w:rPr>
        <w:t>документов, предоставляемых заказчиком банку одновременно с требованием об осуществлении уплаты денежной суммы по банковской гарантии, установленный постановлением Правительства Российской Федерации от 8 ноября 2013 года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условие о праве на бесспорное списание денежных средств заказчиком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w:t>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pPr>
        <w:pStyle w:val="Style21"/>
        <w:numPr>
          <w:ilvl w:val="0"/>
          <w:numId w:val="27"/>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условия о том, что расходы, возникающие в связи с перечислением денежных средств гарантом по банковской гарантии, несет гарант.</w:t>
      </w:r>
    </w:p>
    <w:p>
      <w:pPr>
        <w:pStyle w:val="Style21"/>
        <w:numPr>
          <w:ilvl w:val="0"/>
          <w:numId w:val="25"/>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В случае оформления банковской гарантии в письменной форме на бумажном носителе на нескольких листах должно иметь место обязательное наличие нумерации на всех листах банковской гарантии, которые должны быть прошиты, подписаны и скреплены печатью гаранта (при наличии печати).</w:t>
      </w:r>
    </w:p>
    <w:p>
      <w:pPr>
        <w:pStyle w:val="Style21"/>
        <w:numPr>
          <w:ilvl w:val="0"/>
          <w:numId w:val="25"/>
        </w:numPr>
        <w:widowControl w:val="0"/>
        <w:keepNext w:val="0"/>
        <w:keepLines w:val="0"/>
        <w:shd w:val="clear" w:color="auto" w:fill="auto"/>
        <w:bidi w:val="0"/>
        <w:spacing w:before="0" w:after="0" w:line="250" w:lineRule="exact"/>
        <w:ind w:left="0" w:right="0" w:firstLine="860"/>
      </w:pPr>
      <w:r>
        <w:rPr>
          <w:lang w:val="ru-RU" w:eastAsia="ru-RU" w:bidi="ru-RU"/>
          <w:w w:val="100"/>
          <w:spacing w:val="0"/>
          <w:color w:val="000000"/>
          <w:position w:val="0"/>
        </w:rPr>
        <w:t xml:space="preserve"> Недопустимо включать в банковскую гарантию:</w:t>
      </w:r>
    </w:p>
    <w:p>
      <w:pPr>
        <w:pStyle w:val="Style21"/>
        <w:numPr>
          <w:ilvl w:val="0"/>
          <w:numId w:val="9"/>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положение о праве гаранта отказывать в удовлетворении требования заказчика о платеже по банковской гарантии в случае непредоставления гаранту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pPr>
        <w:pStyle w:val="Style21"/>
        <w:numPr>
          <w:ilvl w:val="0"/>
          <w:numId w:val="9"/>
        </w:numPr>
        <w:widowControl w:val="0"/>
        <w:keepNext w:val="0"/>
        <w:keepLines w:val="0"/>
        <w:shd w:val="clear" w:color="auto" w:fill="auto"/>
        <w:bidi w:val="0"/>
        <w:spacing w:before="0" w:after="0" w:line="250" w:lineRule="exact"/>
        <w:ind w:left="0" w:right="0" w:firstLine="860"/>
      </w:pPr>
      <w:r>
        <w:rPr>
          <w:lang w:val="ru-RU" w:eastAsia="ru-RU" w:bidi="ru-RU"/>
          <w:w w:val="100"/>
          <w:spacing w:val="0"/>
          <w:color w:val="000000"/>
          <w:position w:val="0"/>
        </w:rPr>
        <w:t xml:space="preserve"> требования о предоставлении заказчиком гаранту отчета об исполнении контракта;</w:t>
      </w:r>
    </w:p>
    <w:p>
      <w:pPr>
        <w:pStyle w:val="Style21"/>
        <w:numPr>
          <w:ilvl w:val="0"/>
          <w:numId w:val="9"/>
        </w:numPr>
        <w:widowControl w:val="0"/>
        <w:keepNext w:val="0"/>
        <w:keepLines w:val="0"/>
        <w:shd w:val="clear" w:color="auto" w:fill="auto"/>
        <w:bidi w:val="0"/>
        <w:spacing w:before="0" w:after="0" w:line="250" w:lineRule="exact"/>
        <w:ind w:left="0" w:right="20" w:firstLine="860"/>
      </w:pPr>
      <w:r>
        <w:rPr>
          <w:lang w:val="ru-RU" w:eastAsia="ru-RU" w:bidi="ru-RU"/>
          <w:w w:val="100"/>
          <w:spacing w:val="0"/>
          <w:color w:val="000000"/>
          <w:position w:val="0"/>
        </w:rPr>
        <w:t xml:space="preserve"> требования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w:t>
      </w:r>
      <w:r>
        <w:rPr>
          <w:lang w:val="ru-RU" w:eastAsia="ru-RU" w:bidi="ru-RU"/>
          <w:w w:val="100"/>
          <w:spacing w:val="0"/>
          <w:color w:val="000000"/>
          <w:position w:val="0"/>
        </w:rPr>
        <w:t xml:space="preserve"> перечень</w:t>
      </w:r>
      <w:r>
        <w:rPr>
          <w:lang w:val="ru-RU" w:eastAsia="ru-RU" w:bidi="ru-RU"/>
          <w:w w:val="100"/>
          <w:spacing w:val="0"/>
          <w:color w:val="000000"/>
          <w:position w:val="0"/>
        </w:rPr>
        <w:t xml:space="preserve">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260" w:lineRule="exact"/>
        <w:ind w:left="0" w:right="0" w:firstLine="860"/>
      </w:pPr>
      <w:r>
        <w:rPr>
          <w:rStyle w:val="CharStyle23"/>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статьи 425 Гражданского кодекса Российской Федерации установлено, что законом или договором может быть предусмотрено, что окончание срока действия договора влечет прекращение обязательств сторон по договору. Договор, в котором отсутствует такое условие, признается действующим до определенного в нем момента окончания исполнения сторонами обязательства.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со статьей 190 Гражданского кодекса Российской Федерации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Срок может определяться также указанием на событие, которое должно неизбежно наступить.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Однако, в проекте контракта срок действия контракта Заказчиком установлен ненадлежащим образом: «.</w:t>
      </w:r>
    </w:p>
    <w:p>
      <w:pPr>
        <w:pStyle w:val="Style21"/>
        <w:widowControl w:val="0"/>
        <w:keepNext w:val="0"/>
        <w:keepLines w:val="0"/>
        <w:shd w:val="clear" w:color="auto" w:fill="auto"/>
        <w:bidi w:val="0"/>
        <w:jc w:val="center"/>
        <w:spacing w:before="0" w:after="0" w:line="278" w:lineRule="exact"/>
        <w:ind w:left="0" w:right="0" w:firstLine="0"/>
      </w:pPr>
      <w:r>
        <w:rPr>
          <w:lang w:val="ru-RU" w:eastAsia="ru-RU" w:bidi="ru-RU"/>
          <w:w w:val="100"/>
          <w:spacing w:val="0"/>
          <w:color w:val="000000"/>
          <w:position w:val="0"/>
        </w:rPr>
        <w:t>Статья 12. Срок действия, порядок изменения Контракта</w:t>
      </w:r>
    </w:p>
    <w:p>
      <w:pPr>
        <w:pStyle w:val="Style21"/>
        <w:tabs>
          <w:tab w:leader="underscore" w:pos="9217" w:val="right"/>
          <w:tab w:leader="underscore" w:pos="10196" w:val="left"/>
        </w:tabs>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12.1. Контракт вступает в силу со дня его подписания Сторонами и действует до «</w:t>
        <w:tab/>
        <w:t>»</w:t>
        <w:tab/>
      </w:r>
    </w:p>
    <w:p>
      <w:pPr>
        <w:pStyle w:val="Style21"/>
        <w:widowControl w:val="0"/>
        <w:keepNext w:val="0"/>
        <w:keepLines w:val="0"/>
        <w:shd w:val="clear" w:color="auto" w:fill="auto"/>
        <w:bidi w:val="0"/>
        <w:spacing w:before="0" w:after="0" w:line="278" w:lineRule="exact"/>
        <w:ind w:left="20" w:right="0" w:firstLine="0"/>
      </w:pPr>
      <w:r>
        <w:rPr>
          <w:lang w:val="ru-RU" w:eastAsia="ru-RU" w:bidi="ru-RU"/>
          <w:w w:val="100"/>
          <w:spacing w:val="0"/>
          <w:color w:val="000000"/>
          <w:position w:val="0"/>
        </w:rPr>
        <w:t>20 года.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.»(цитата проекта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при выборе способа обеспечения контракта в виде предоставления банковской гарантии участнику закупки фактически не представляется возможным установить срок действия банковской гарантии, поскольку заказчиком изначально не установлен срок действия контракта.</w:t>
      </w:r>
    </w:p>
    <w:p>
      <w:pPr>
        <w:pStyle w:val="Style7"/>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Учитывая приведенное, действия Заказчик, не указавшего в проекте контракта срок действия контракта, что не позволяет участнику выбрать способ обеспечения контракта в виде предоставления банковской гарантии, в силу того, что участнику закупки фактически не представляется возможным установить срок действия банковской гарантии, нарушают требования части 3 статьи 96 Закона о контрактной системе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29"/>
        </w:numPr>
        <w:tabs>
          <w:tab w:leader="none" w:pos="1365" w:val="left"/>
        </w:tabs>
        <w:widowControl w:val="0"/>
        <w:keepNext w:val="0"/>
        <w:keepLines w:val="0"/>
        <w:shd w:val="clear" w:color="auto" w:fill="auto"/>
        <w:bidi w:val="0"/>
        <w:jc w:val="both"/>
        <w:spacing w:before="0" w:after="109"/>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177" w:line="260" w:lineRule="exact"/>
        <w:ind w:left="0" w:right="0" w:firstLine="0"/>
      </w:pPr>
      <w:r>
        <w:rPr>
          <w:lang w:val="ru-RU" w:eastAsia="ru-RU" w:bidi="ru-RU"/>
          <w:w w:val="100"/>
          <w:spacing w:val="0"/>
          <w:color w:val="000000"/>
          <w:position w:val="0"/>
        </w:rPr>
        <w:t>РЕШИЛА:</w:t>
      </w:r>
    </w:p>
    <w:p>
      <w:pPr>
        <w:pStyle w:val="Style7"/>
        <w:numPr>
          <w:ilvl w:val="0"/>
          <w:numId w:val="31"/>
        </w:numPr>
        <w:tabs>
          <w:tab w:leader="none" w:pos="1169" w:val="left"/>
        </w:tabs>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Признать жалобу Заявителя необоснованной.</w:t>
      </w:r>
      <w:r>
        <w:br w:type="page"/>
      </w:r>
    </w:p>
    <w:p>
      <w:pPr>
        <w:pStyle w:val="Style7"/>
        <w:numPr>
          <w:ilvl w:val="0"/>
          <w:numId w:val="31"/>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Признать Заказчика нарушившим требования частей 5, 7, 8 статьи 34, части 3 статьи 96 Закона о контрактной системе, пункта 5 Правил от 30.08.2017 № 1042.</w:t>
      </w:r>
    </w:p>
    <w:p>
      <w:pPr>
        <w:pStyle w:val="Style7"/>
        <w:numPr>
          <w:ilvl w:val="0"/>
          <w:numId w:val="31"/>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31"/>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№06/4090-17 для рассмотрения вопроса о возбуждении дела об административном правонарушении.</w:t>
      </w:r>
    </w:p>
    <w:p>
      <w:pPr>
        <w:pStyle w:val="Style7"/>
        <w:numPr>
          <w:ilvl w:val="0"/>
          <w:numId w:val="31"/>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№06/12137.</w:t>
      </w:r>
    </w:p>
    <w:p>
      <w:pPr>
        <w:pStyle w:val="Style7"/>
        <w:widowControl w:val="0"/>
        <w:keepNext w:val="0"/>
        <w:keepLines w:val="0"/>
        <w:shd w:val="clear" w:color="auto" w:fill="auto"/>
        <w:bidi w:val="0"/>
        <w:jc w:val="both"/>
        <w:spacing w:before="0" w:after="343"/>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813"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7"/>
        <w:tabs>
          <w:tab w:leader="none" w:pos="7813"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164"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235" w:val="left"/>
        </w:tabs>
        <w:widowControl w:val="0"/>
        <w:keepNext w:val="0"/>
        <w:keepLines w:val="0"/>
        <w:shd w:val="clear" w:color="auto" w:fill="auto"/>
        <w:bidi w:val="0"/>
        <w:jc w:val="both"/>
        <w:spacing w:before="0" w:after="0" w:line="260" w:lineRule="exact"/>
        <w:ind w:left="5800" w:right="0" w:firstLine="0"/>
        <w:sectPr>
          <w:pgSz w:w="11906" w:h="16838"/>
          <w:pgMar w:top="1377" w:left="699" w:right="675" w:bottom="868"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7"/>
        <w:numPr>
          <w:ilvl w:val="0"/>
          <w:numId w:val="33"/>
        </w:numPr>
        <w:widowControl w:val="0"/>
        <w:keepNext w:val="0"/>
        <w:keepLines w:val="0"/>
        <w:shd w:val="clear" w:color="auto" w:fill="auto"/>
        <w:bidi w:val="0"/>
        <w:jc w:val="left"/>
        <w:spacing w:before="0" w:after="0" w:line="317" w:lineRule="exact"/>
        <w:ind w:left="20" w:right="0" w:firstLine="2200"/>
      </w:pPr>
      <w:r>
        <w:rPr>
          <w:lang w:val="ru-RU" w:eastAsia="ru-RU" w:bidi="ru-RU"/>
          <w:w w:val="100"/>
          <w:spacing w:val="0"/>
          <w:color w:val="000000"/>
          <w:position w:val="0"/>
        </w:rPr>
        <w:t xml:space="preserve"> Заказчик:</w:t>
      </w:r>
    </w:p>
    <w:p>
      <w:pPr>
        <w:pStyle w:val="Style3"/>
        <w:framePr w:w="4893" w:h="3513" w:wrap="around" w:vAnchor="text" w:hAnchor="margin" w:x="-100" w:y="310"/>
        <w:widowControl w:val="0"/>
        <w:keepNext w:val="0"/>
        <w:keepLines w:val="0"/>
        <w:shd w:val="clear" w:color="auto" w:fill="auto"/>
        <w:bidi w:val="0"/>
        <w:spacing w:before="0" w:after="173" w:line="274" w:lineRule="exact"/>
        <w:ind w:left="20" w:right="0" w:firstLine="0"/>
      </w:pPr>
      <w:r>
        <w:rPr>
          <w:rStyle w:val="CharStyle4"/>
          <w:b/>
          <w:bCs/>
          <w:spacing w:val="0"/>
        </w:rPr>
        <w:t>ФЕДЕРАЛЬНАЯ АНТИМОНОПОЛЬНАЯ СЛУЖБА</w:t>
      </w:r>
    </w:p>
    <w:p>
      <w:pPr>
        <w:pStyle w:val="Style3"/>
        <w:framePr w:w="4893" w:h="3513" w:wrap="around" w:vAnchor="text" w:hAnchor="margin" w:x="-100" w:y="310"/>
        <w:widowControl w:val="0"/>
        <w:keepNext w:val="0"/>
        <w:keepLines w:val="0"/>
        <w:shd w:val="clear" w:color="auto" w:fill="auto"/>
        <w:bidi w:val="0"/>
        <w:spacing w:before="0" w:after="0" w:line="283" w:lineRule="exact"/>
        <w:ind w:left="20" w:right="0" w:firstLine="0"/>
      </w:pPr>
      <w:r>
        <w:rPr>
          <w:rStyle w:val="CharStyle4"/>
          <w:b/>
          <w:bCs/>
          <w:spacing w:val="0"/>
        </w:rPr>
        <w:t>УПРАВЛЕ</w:t>
      </w:r>
      <w:r>
        <w:rPr>
          <w:rStyle w:val="CharStyle32"/>
          <w:b/>
          <w:bCs/>
          <w:spacing w:val="0"/>
        </w:rPr>
        <w:t>НИ</w:t>
      </w:r>
      <w:r>
        <w:rPr>
          <w:rStyle w:val="CharStyle4"/>
          <w:b/>
          <w:bCs/>
          <w:spacing w:val="0"/>
        </w:rPr>
        <w:t>Е Федеральной антимонопольной службы по Республике Крым и городу Севастополю</w:t>
      </w:r>
    </w:p>
    <w:p>
      <w:pPr>
        <w:pStyle w:val="Style5"/>
        <w:framePr w:w="4893" w:h="3513" w:wrap="around" w:vAnchor="text" w:hAnchor="margin" w:x="-100" w:y="310"/>
        <w:widowControl w:val="0"/>
        <w:keepNext w:val="0"/>
        <w:keepLines w:val="0"/>
        <w:shd w:val="clear" w:color="auto" w:fill="auto"/>
        <w:bidi w:val="0"/>
        <w:spacing w:before="0" w:after="0"/>
        <w:ind w:left="2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framePr w:w="4893" w:h="3513" w:wrap="around" w:vAnchor="text" w:hAnchor="margin" w:x="-100" w:y="310"/>
        <w:widowControl w:val="0"/>
        <w:keepNext w:val="0"/>
        <w:keepLines w:val="0"/>
        <w:shd w:val="clear" w:color="auto" w:fill="auto"/>
        <w:bidi w:val="0"/>
        <w:jc w:val="left"/>
        <w:spacing w:before="0" w:after="0" w:line="562" w:lineRule="exact"/>
        <w:ind w:left="20" w:right="2220" w:firstLine="0"/>
      </w:pPr>
      <w:r>
        <w:rPr>
          <w:rStyle w:val="CharStyle8"/>
          <w:spacing w:val="0"/>
        </w:rPr>
        <w:t>01.11.2017 № 06/12521 На № 89 от 24.10.2017</w:t>
      </w:r>
    </w:p>
    <w:p>
      <w:pPr>
        <w:pStyle w:val="Style7"/>
        <w:widowControl w:val="0"/>
        <w:keepNext w:val="0"/>
        <w:keepLines w:val="0"/>
        <w:shd w:val="clear" w:color="auto" w:fill="auto"/>
        <w:bidi w:val="0"/>
        <w:jc w:val="left"/>
        <w:spacing w:before="0" w:after="0" w:line="317" w:lineRule="exact"/>
        <w:ind w:left="20" w:right="20" w:firstLine="2200"/>
      </w:pPr>
      <w:r>
        <w:rPr>
          <w:lang w:val="ru-RU" w:eastAsia="ru-RU" w:bidi="ru-RU"/>
          <w:w w:val="100"/>
          <w:spacing w:val="0"/>
          <w:color w:val="000000"/>
          <w:position w:val="0"/>
        </w:rPr>
        <w:t>Филиал Федерального казенного учреждения здравоохранения «Санаторий «Алупка» Министерства внутренних дел Российской Федерации» «Дружба»</w:t>
      </w:r>
    </w:p>
    <w:p>
      <w:pPr>
        <w:pStyle w:val="Style7"/>
        <w:widowControl w:val="0"/>
        <w:keepNext w:val="0"/>
        <w:keepLines w:val="0"/>
        <w:shd w:val="clear" w:color="auto" w:fill="auto"/>
        <w:bidi w:val="0"/>
        <w:jc w:val="left"/>
        <w:spacing w:before="0" w:after="236" w:line="317" w:lineRule="exact"/>
        <w:ind w:left="20" w:right="340" w:firstLine="0"/>
      </w:pPr>
      <w:r>
        <w:rPr>
          <w:lang w:val="ru-RU" w:eastAsia="ru-RU" w:bidi="ru-RU"/>
          <w:w w:val="100"/>
          <w:spacing w:val="0"/>
          <w:color w:val="000000"/>
          <w:position w:val="0"/>
        </w:rPr>
        <w:t>298500, Республика Крым, г. Алушта, ул. Чатырдагская, д. 1</w:t>
      </w:r>
    </w:p>
    <w:p>
      <w:pPr>
        <w:pStyle w:val="Style7"/>
        <w:numPr>
          <w:ilvl w:val="0"/>
          <w:numId w:val="33"/>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20" w:right="340" w:firstLine="0"/>
      </w:pPr>
      <w:r>
        <w:rPr>
          <w:lang w:val="ru-RU" w:eastAsia="ru-RU" w:bidi="ru-RU"/>
          <w:w w:val="100"/>
          <w:spacing w:val="0"/>
          <w:color w:val="000000"/>
          <w:position w:val="0"/>
        </w:rPr>
        <w:t>Общество с ограниченной ответственностью «СДС»</w:t>
      </w:r>
    </w:p>
    <w:p>
      <w:pPr>
        <w:pStyle w:val="Style7"/>
        <w:widowControl w:val="0"/>
        <w:keepNext w:val="0"/>
        <w:keepLines w:val="0"/>
        <w:shd w:val="clear" w:color="auto" w:fill="auto"/>
        <w:bidi w:val="0"/>
        <w:jc w:val="left"/>
        <w:spacing w:before="0" w:after="289"/>
        <w:ind w:left="20" w:right="340" w:firstLine="0"/>
      </w:pPr>
      <w:r>
        <w:rPr>
          <w:lang w:val="ru-RU" w:eastAsia="ru-RU" w:bidi="ru-RU"/>
          <w:w w:val="100"/>
          <w:spacing w:val="0"/>
          <w:color w:val="000000"/>
          <w:position w:val="0"/>
        </w:rPr>
        <w:t>183050, г. Мурманск, ул. Петровского, д. 2</w:t>
      </w:r>
    </w:p>
    <w:p>
      <w:pPr>
        <w:pStyle w:val="Style7"/>
        <w:numPr>
          <w:ilvl w:val="0"/>
          <w:numId w:val="33"/>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900" w:firstLine="0"/>
      </w:pPr>
      <w:r>
        <w:rPr>
          <w:lang w:val="ru-RU" w:eastAsia="ru-RU" w:bidi="ru-RU"/>
          <w:w w:val="100"/>
          <w:spacing w:val="0"/>
          <w:color w:val="000000"/>
          <w:position w:val="0"/>
        </w:rPr>
        <w:t>ОАО «Единая Электронная Торговая Площадка» ОАО «ЕЭТП»</w:t>
      </w:r>
    </w:p>
    <w:p>
      <w:pPr>
        <w:pStyle w:val="Style7"/>
        <w:widowControl w:val="0"/>
        <w:keepNext w:val="0"/>
        <w:keepLines w:val="0"/>
        <w:shd w:val="clear" w:color="auto" w:fill="auto"/>
        <w:bidi w:val="0"/>
        <w:jc w:val="left"/>
        <w:spacing w:before="0" w:after="60"/>
        <w:ind w:left="4980" w:right="90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109"/>
        <w:ind w:left="40" w:right="0" w:firstLine="0"/>
      </w:pPr>
      <w:r>
        <w:rPr>
          <w:lang w:val="ru-RU" w:eastAsia="ru-RU" w:bidi="ru-RU"/>
          <w:w w:val="100"/>
          <w:spacing w:val="0"/>
          <w:color w:val="000000"/>
          <w:position w:val="0"/>
        </w:rPr>
        <w:t>Предписание по делу №06/4090-17 об устранении нарушений законодательства Российской Федерации о контрактной системе в сфере закупок</w:t>
      </w:r>
    </w:p>
    <w:p>
      <w:pPr>
        <w:pStyle w:val="Style7"/>
        <w:numPr>
          <w:ilvl w:val="0"/>
          <w:numId w:val="35"/>
        </w:numPr>
        <w:tabs>
          <w:tab w:leader="none" w:pos="8025" w:val="left"/>
          <w:tab w:leader="none" w:pos="8075" w:val="left"/>
        </w:tabs>
        <w:widowControl w:val="0"/>
        <w:keepNext w:val="0"/>
        <w:keepLines w:val="0"/>
        <w:shd w:val="clear" w:color="auto" w:fill="auto"/>
        <w:bidi w:val="0"/>
        <w:jc w:val="both"/>
        <w:spacing w:before="0" w:after="137"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33"/>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33"/>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both"/>
        <w:spacing w:before="0" w:after="286" w:line="317" w:lineRule="exact"/>
        <w:ind w:left="2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33"/>
        </w:rPr>
        <w:t>УФАС</w:t>
      </w:r>
      <w:r>
        <w:rPr>
          <w:lang w:val="ru-RU" w:eastAsia="ru-RU" w:bidi="ru-RU"/>
          <w:w w:val="100"/>
          <w:spacing w:val="0"/>
          <w:color w:val="000000"/>
          <w:position w:val="0"/>
        </w:rPr>
        <w:t xml:space="preserve"> России Н. П. Казаковой;</w:t>
      </w:r>
    </w:p>
    <w:p>
      <w:pPr>
        <w:pStyle w:val="Style7"/>
        <w:widowControl w:val="0"/>
        <w:keepNext w:val="0"/>
        <w:keepLines w:val="0"/>
        <w:shd w:val="clear" w:color="auto" w:fill="auto"/>
        <w:bidi w:val="0"/>
        <w:jc w:val="both"/>
        <w:spacing w:before="0" w:after="255" w:line="260" w:lineRule="exact"/>
        <w:ind w:left="2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52" w:line="312" w:lineRule="exact"/>
        <w:ind w:left="2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109"/>
        <w:ind w:left="20" w:right="20" w:firstLine="840"/>
      </w:pPr>
      <w:r>
        <w:rPr>
          <w:lang w:val="ru-RU" w:eastAsia="ru-RU" w:bidi="ru-RU"/>
          <w:w w:val="100"/>
          <w:spacing w:val="0"/>
          <w:color w:val="000000"/>
          <w:position w:val="0"/>
        </w:rPr>
        <w:t>на основании решения Комиссии от 30.10.2017 по делу №06/4090-17 по итогам рассмотрения жалобы Заявителя от 24.10.2017 №89 (вх. №4672/09 от 25.10.2017) на действия Аукционной комиссии Заказчика при проведении аукциона в электронной форме «Капитальный ремонт ограждения территории муниципального общеобразовательного учреждения города Джанкоя Республики Крым "Средняя</w:t>
        <w:br w:type="page"/>
      </w:r>
      <w:r>
        <w:rPr>
          <w:rStyle w:val="CharStyle12"/>
        </w:rPr>
        <w:t>шк</w:t>
      </w:r>
      <w:r>
        <w:rPr>
          <w:lang w:val="ru-RU" w:eastAsia="ru-RU" w:bidi="ru-RU"/>
          <w:w w:val="100"/>
          <w:spacing w:val="0"/>
          <w:color w:val="000000"/>
          <w:position w:val="0"/>
        </w:rPr>
        <w:t>ола. №4" по ул.Титова, 45 в г.Джанкое» (извещение №0875100004917000017)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123" w:line="260" w:lineRule="exact"/>
        <w:ind w:left="4360" w:right="0" w:firstLine="0"/>
      </w:pPr>
      <w:r>
        <w:rPr>
          <w:lang w:val="ru-RU" w:eastAsia="ru-RU" w:bidi="ru-RU"/>
          <w:w w:val="100"/>
          <w:spacing w:val="0"/>
          <w:color w:val="000000"/>
          <w:position w:val="0"/>
        </w:rPr>
        <w:t>ПРЕДПИСЫВАЕТ:</w:t>
      </w:r>
    </w:p>
    <w:p>
      <w:pPr>
        <w:pStyle w:val="Style7"/>
        <w:numPr>
          <w:ilvl w:val="0"/>
          <w:numId w:val="3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30.10.2017 по делу №06/4090-17.</w:t>
      </w:r>
    </w:p>
    <w:p>
      <w:pPr>
        <w:pStyle w:val="Style7"/>
        <w:numPr>
          <w:ilvl w:val="0"/>
          <w:numId w:val="37"/>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Заказчику в срок до 24.11.2017 исполнить настоящее предписание и предоставить в Крымское </w:t>
      </w:r>
      <w:r>
        <w:rPr>
          <w:rStyle w:val="CharStyle33"/>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37"/>
        </w:numPr>
        <w:widowControl w:val="0"/>
        <w:keepNext w:val="0"/>
        <w:keepLines w:val="0"/>
        <w:shd w:val="clear" w:color="auto" w:fill="auto"/>
        <w:bidi w:val="0"/>
        <w:jc w:val="both"/>
        <w:spacing w:before="0" w:after="60"/>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25.10.2017 №06/12137.</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sectPr>
          <w:pgSz w:w="11906" w:h="16838"/>
          <w:pgMar w:top="1549" w:left="911" w:right="781" w:bottom="983" w:header="0" w:footer="3" w:gutter="0"/>
          <w:rtlGutter w:val="0"/>
          <w:cols w:space="720"/>
          <w:noEndnote/>
          <w:docGrid w:linePitch="360"/>
        </w:sectPr>
      </w:pPr>
      <w:r>
        <w:rPr>
          <w:lang w:val="ru-RU" w:eastAsia="ru-RU" w:bidi="ru-RU"/>
          <w:w w:val="100"/>
          <w:spacing w:val="0"/>
          <w:color w:val="000000"/>
          <w:position w:val="0"/>
        </w:rPr>
        <w:t>О. А. Шалимова</w:t>
      </w:r>
    </w:p>
    <w:p>
      <w:pPr>
        <w:pStyle w:val="Style21"/>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20</w:t>
      </w:r>
    </w:p>
    <w:sectPr>
      <w:pgSz w:w="11906" w:h="16838"/>
      <w:pgMar w:top="983" w:left="5730" w:right="5706" w:bottom="153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7.%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7.1.%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7.2.%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20">
    <w:multiLevelType w:val="multilevel"/>
    <w:lvl w:ilvl="0">
      <w:start w:val="2017"/>
      <w:numFmt w:val="decimal"/>
      <w:lvlText w:val="30.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
      <w:numFmt w:val="decimal"/>
      <w:lvlText w:val="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8">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0"/>
      <w:szCs w:val="20"/>
      <w:rFonts w:ascii="Times New Roman" w:eastAsia="Times New Roman" w:hAnsi="Times New Roman" w:cs="Times New Roman"/>
      <w:spacing w:val="1"/>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ru-RU" w:eastAsia="ru-RU" w:bidi="ru-RU"/>
      <w:u w:val="single"/>
      <w:w w:val="100"/>
      <w:spacing w:val="0"/>
      <w:color w:val="000000"/>
      <w:position w:val="0"/>
    </w:rPr>
  </w:style>
  <w:style w:type="character" w:customStyle="1" w:styleId="CharStyle15">
    <w:name w:val="Основной текст (5)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16">
    <w:name w:val="Основной текст (5) Exact"/>
    <w:basedOn w:val="CharStyle25"/>
    <w:rPr>
      <w:u w:val="single"/>
      <w:sz w:val="16"/>
      <w:szCs w:val="16"/>
      <w:spacing w:val="-2"/>
    </w:rPr>
  </w:style>
  <w:style w:type="character" w:customStyle="1" w:styleId="CharStyle17">
    <w:name w:val="Основной текст + 8,5 pt"/>
    <w:basedOn w:val="CharStyle9"/>
    <w:rPr>
      <w:lang w:val="ru-RU" w:eastAsia="ru-RU" w:bidi="ru-RU"/>
      <w:sz w:val="17"/>
      <w:szCs w:val="17"/>
      <w:w w:val="100"/>
      <w:spacing w:val="0"/>
      <w:color w:val="000000"/>
      <w:position w:val="0"/>
    </w:rPr>
  </w:style>
  <w:style w:type="character" w:customStyle="1" w:styleId="CharStyle18">
    <w:name w:val="Основной текст"/>
    <w:basedOn w:val="CharStyle9"/>
    <w:rPr>
      <w:lang w:val="ru-RU" w:eastAsia="ru-RU" w:bidi="ru-RU"/>
      <w:w w:val="100"/>
      <w:spacing w:val="0"/>
      <w:color w:val="000000"/>
      <w:position w:val="0"/>
    </w:rPr>
  </w:style>
  <w:style w:type="character" w:customStyle="1" w:styleId="CharStyle19">
    <w:name w:val="Основной текст (3)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 8,5 pt,Курсив"/>
    <w:basedOn w:val="CharStyle9"/>
    <w:rPr>
      <w:lang w:val="ru-RU" w:eastAsia="ru-RU" w:bidi="ru-RU"/>
      <w:i/>
      <w:iCs/>
      <w:sz w:val="17"/>
      <w:szCs w:val="17"/>
      <w:w w:val="100"/>
      <w:spacing w:val="0"/>
      <w:color w:val="000000"/>
      <w:position w:val="0"/>
    </w:rPr>
  </w:style>
  <w:style w:type="character" w:customStyle="1" w:styleId="CharStyle22">
    <w:name w:val="Основной текст (6)_"/>
    <w:basedOn w:val="DefaultParagraphFont"/>
    <w:link w:val="Style21"/>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 Интервал 2 pt"/>
    <w:basedOn w:val="CharStyle9"/>
    <w:rPr>
      <w:lang w:val="ru-RU" w:eastAsia="ru-RU" w:bidi="ru-RU"/>
      <w:w w:val="100"/>
      <w:spacing w:val="50"/>
      <w:color w:val="000000"/>
      <w:position w:val="0"/>
    </w:rPr>
  </w:style>
  <w:style w:type="character" w:customStyle="1" w:styleId="CharStyle24">
    <w:name w:val="Основной текст"/>
    <w:basedOn w:val="CharStyle9"/>
    <w:rPr>
      <w:lang w:val="ru-RU" w:eastAsia="ru-RU" w:bidi="ru-RU"/>
      <w:w w:val="100"/>
      <w:spacing w:val="0"/>
      <w:color w:val="000000"/>
      <w:position w:val="0"/>
    </w:rPr>
  </w:style>
  <w:style w:type="character" w:customStyle="1" w:styleId="CharStyle25">
    <w:name w:val="Основной текст (5)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26">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8">
    <w:name w:val="Основной текст (7)_"/>
    <w:basedOn w:val="DefaultParagraphFont"/>
    <w:link w:val="Style27"/>
    <w:rPr>
      <w:b w:val="0"/>
      <w:bCs w:val="0"/>
      <w:i w:val="0"/>
      <w:iCs w:val="0"/>
      <w:u w:val="none"/>
      <w:strike w:val="0"/>
      <w:smallCaps w:val="0"/>
      <w:sz w:val="12"/>
      <w:szCs w:val="12"/>
      <w:rFonts w:ascii="Times New Roman" w:eastAsia="Times New Roman" w:hAnsi="Times New Roman" w:cs="Times New Roman"/>
    </w:rPr>
  </w:style>
  <w:style w:type="character" w:customStyle="1" w:styleId="CharStyle29">
    <w:name w:val="Основной текст (2) + Не полужирный"/>
    <w:basedOn w:val="CharStyle11"/>
    <w:rPr>
      <w:lang w:val="ru-RU" w:eastAsia="ru-RU" w:bidi="ru-RU"/>
      <w:b/>
      <w:bCs/>
      <w:w w:val="100"/>
      <w:spacing w:val="0"/>
      <w:color w:val="000000"/>
      <w:position w:val="0"/>
    </w:rPr>
  </w:style>
  <w:style w:type="character" w:customStyle="1" w:styleId="CharStyle30">
    <w:name w:val="Основной текст (2) + Не полужирный,Интервал 2 pt"/>
    <w:basedOn w:val="CharStyle11"/>
    <w:rPr>
      <w:lang w:val="ru-RU" w:eastAsia="ru-RU" w:bidi="ru-RU"/>
      <w:b/>
      <w:bCs/>
      <w:w w:val="100"/>
      <w:spacing w:val="50"/>
      <w:color w:val="000000"/>
      <w:position w:val="0"/>
    </w:rPr>
  </w:style>
  <w:style w:type="character" w:customStyle="1" w:styleId="CharStyle31">
    <w:name w:val="Основной текст (6) + Полужирный"/>
    <w:basedOn w:val="CharStyle22"/>
    <w:rPr>
      <w:lang w:val="ru-RU" w:eastAsia="ru-RU" w:bidi="ru-RU"/>
      <w:b/>
      <w:bCs/>
      <w:w w:val="100"/>
      <w:spacing w:val="0"/>
      <w:color w:val="000000"/>
      <w:position w:val="0"/>
    </w:rPr>
  </w:style>
  <w:style w:type="character" w:customStyle="1" w:styleId="CharStyle32">
    <w:name w:val="Основной текст (3) Exact"/>
    <w:basedOn w:val="CharStyle19"/>
    <w:rPr>
      <w:lang w:val="ru-RU" w:eastAsia="ru-RU" w:bidi="ru-RU"/>
      <w:u w:val="single"/>
      <w:sz w:val="20"/>
      <w:szCs w:val="20"/>
      <w:w w:val="100"/>
      <w:spacing w:val="1"/>
      <w:color w:val="000000"/>
      <w:position w:val="0"/>
    </w:rPr>
  </w:style>
  <w:style w:type="character" w:customStyle="1" w:styleId="CharStyle33">
    <w:name w:val="Основной текст"/>
    <w:basedOn w:val="CharStyle9"/>
    <w:rPr>
      <w:lang w:val="ru-RU" w:eastAsia="ru-RU" w:bidi="ru-RU"/>
      <w:w w:val="100"/>
      <w:spacing w:val="0"/>
      <w:color w:val="000000"/>
      <w:position w:val="0"/>
    </w:rPr>
  </w:style>
  <w:style w:type="character" w:customStyle="1" w:styleId="CharStyle34">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19"/>
    <w:pPr>
      <w:widowControl w:val="0"/>
      <w:shd w:val="clear" w:color="auto" w:fill="FFFFFF"/>
      <w:jc w:val="center"/>
      <w:spacing w:after="18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26"/>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9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25"/>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before="36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