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/>
        <w:keepLines/>
        <w:shd w:val="clear" w:color="auto" w:fill="auto"/>
        <w:bidi w:val="0"/>
        <w:jc w:val="left"/>
        <w:spacing w:before="0" w:after="0"/>
        <w:ind w:left="500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«Зарница»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0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1-я Владимирская, д. 12, к.2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0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Москва, 111123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6" w:line="240" w:lineRule="exact"/>
        <w:ind w:left="50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тел.: (495) 9874731</w:t>
      </w:r>
    </w:p>
    <w:p>
      <w:pPr>
        <w:pStyle w:val="Style5"/>
        <w:widowControl w:val="0"/>
        <w:keepNext/>
        <w:keepLines/>
        <w:shd w:val="clear" w:color="auto" w:fill="auto"/>
        <w:bidi w:val="0"/>
        <w:jc w:val="left"/>
        <w:spacing w:before="0" w:after="372" w:line="240" w:lineRule="exact"/>
        <w:ind w:left="5000" w:right="0" w:firstLine="0"/>
      </w:pPr>
      <w:bookmarkStart w:id="1" w:name="bookmark1"/>
      <w:r>
        <w:rPr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"mailto:tender@zamittza.ru" </w:instrText>
      </w:r>
      <w:r>
        <w:fldChar w:fldCharType="separate"/>
      </w:r>
      <w:r>
        <w:rPr>
          <w:rStyle w:val="Hyperlink"/>
          <w:sz w:val="24"/>
          <w:szCs w:val="24"/>
          <w:w w:val="100"/>
          <w:spacing w:val="0"/>
          <w:position w:val="0"/>
        </w:rPr>
        <w:t>tender@zamittza.ru</w:t>
      </w:r>
      <w:bookmarkEnd w:id="1"/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914" w:line="240" w:lineRule="exact"/>
        <w:ind w:left="50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Извещение № 0145300005217000390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center"/>
        <w:spacing w:before="0" w:after="298" w:line="312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РЕШЕНИЕ Комиссии Ленинградского УФАС России по контролю в сфере закупок по делу №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1312-03-9888-P3/17</w:t>
      </w:r>
    </w:p>
    <w:p>
      <w:pPr>
        <w:pStyle w:val="Style7"/>
        <w:tabs>
          <w:tab w:leader="none" w:pos="7574" w:val="right"/>
          <w:tab w:leader="none" w:pos="971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21" w:line="240" w:lineRule="exact"/>
        <w:ind w:left="3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26 октября 2017 года</w:t>
        <w:tab/>
        <w:t>г.</w:t>
        <w:tab/>
        <w:t>Санкт-Петербург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340" w:right="3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Ленинградского УФАС России по контролю в сфере закупок (далее - Комиссия) в составе: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340" w:right="3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Сараева Дмитрия Александровича - начальника отдела контроля закупок, председателя Комиссии,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340" w:right="3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Пашедко Анны Дмитриевны - главного специалиста-эксперта отдела контроля закупок, члена Комиссии,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340" w:right="3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Канивец Елены Анатольевны - специалиста-эксперта отдела контроля закупок, члена Комиссии,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center"/>
        <w:spacing w:before="0" w:after="236" w:line="317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340" w:right="3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Ленинградское УФАС России поступила жалоба ООО «Зарница» (далее - Общество) (вх. № 9888 от 25.10.2017 г.) на действия Заказчика при проведении электронного аукциона на право заключения контракта на стенды и таблички для холлов и кабинетов.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340" w:right="3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ч. 7 ст. 105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241" w:line="322" w:lineRule="exact"/>
        <w:ind w:left="340" w:right="3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ч. 10 ст. 105 Закона о контрактной системе жалоба подписывается подающим ее лицом или его представителем. К жалобе,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0" w:line="320" w:lineRule="exact"/>
        <w:ind w:left="0" w:right="340" w:firstLine="0"/>
      </w:pPr>
      <w:bookmarkStart w:id="2" w:name="bookmark2"/>
      <w:r>
        <w:rPr>
          <w:lang w:val="ru-RU" w:eastAsia="ru-RU" w:bidi="ru-RU"/>
          <w:w w:val="100"/>
          <w:color w:val="000000"/>
          <w:position w:val="0"/>
        </w:rPr>
        <w:t>078778</w:t>
      </w:r>
      <w:bookmarkEnd w:id="2"/>
      <w:r>
        <w:br w:type="page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ч. 1 ст. 6 Федерального закона от 06.04.2011 № 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жалоба, подаваемая в форме электронного документа без использования электронной подписи, не будет соответствовать нормам Закона о контрактной системе.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рассматриваемом случае жалоба Общества подана в УФАС по Ленинградской области в форме электронного документа без использования электронной подписи.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2 ч. 11 ст. 105 Закона о контрактной системе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Комиссия Ленинградского УФАС России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center"/>
        <w:spacing w:before="0" w:after="0" w:line="63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3"/>
        <w:framePr w:h="250" w:wrap="around" w:vAnchor="text" w:hAnchor="margin" w:x="5482" w:y="63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4"/>
          <w:i/>
          <w:iCs/>
          <w:spacing w:val="0"/>
        </w:rPr>
        <w:t>в судебном порядке в течение трех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center"/>
        <w:spacing w:before="0" w:after="0" w:line="63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Жалобу ООО «Зарница» возвратить.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09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месяцев со дня его принятия.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78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  <w:r>
        <w:br w:type="page"/>
      </w:r>
    </w:p>
    <w:p>
      <w:pPr>
        <w:pStyle w:val="Style12"/>
        <w:widowControl w:val="0"/>
        <w:keepNext/>
        <w:keepLines/>
        <w:shd w:val="clear" w:color="auto" w:fill="auto"/>
        <w:bidi w:val="0"/>
        <w:spacing w:before="0" w:after="0" w:line="320" w:lineRule="exact"/>
        <w:ind w:left="0" w:right="34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90" w:left="1352" w:right="445" w:bottom="1467" w:header="0" w:footer="3" w:gutter="0"/>
          <w:rtlGutter w:val="0"/>
          <w:cols w:space="720"/>
          <w:noEndnote/>
          <w:docGrid w:linePitch="360"/>
        </w:sectPr>
      </w:pPr>
      <w:bookmarkStart w:id="3" w:name="bookmark3"/>
      <w:r>
        <w:rPr>
          <w:lang w:val="ru-RU" w:eastAsia="ru-RU" w:bidi="ru-RU"/>
          <w:w w:val="100"/>
          <w:color w:val="000000"/>
          <w:position w:val="0"/>
        </w:rPr>
        <w:t>(Я</w:t>
      </w:r>
      <w:bookmarkEnd w:id="3"/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tabs>
          <w:tab w:leader="none" w:pos="2160" w:val="right"/>
          <w:tab w:leader="none" w:pos="3120" w:val="right"/>
          <w:tab w:leader="none" w:pos="3437" w:val="left"/>
        </w:tabs>
        <w:widowControl w:val="0"/>
        <w:keepNext w:val="0"/>
        <w:keepLines w:val="0"/>
        <w:shd w:val="clear" w:color="auto" w:fill="auto"/>
        <w:bidi w:val="0"/>
        <w:spacing w:before="0" w:after="300" w:line="200" w:lineRule="exact"/>
        <w:ind w:left="1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24</w:t>
        <w:tab/>
        <w:t>;</w:t>
        <w:tab/>
      </w:r>
      <w:r>
        <w:rPr>
          <w:rStyle w:val="CharStyle19"/>
        </w:rPr>
        <w:t>октября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к, 1</w:t>
      </w:r>
    </w:p>
    <w:p>
      <w:pPr>
        <w:pStyle w:val="Style14"/>
        <w:framePr w:h="300" w:wrap="around" w:vAnchor="text" w:hAnchor="margin" w:x="-2517" w:y="164"/>
        <w:widowControl w:val="0"/>
        <w:keepNext w:val="0"/>
        <w:keepLines w:val="0"/>
        <w:shd w:val="clear" w:color="auto" w:fill="auto"/>
        <w:bidi w:val="0"/>
        <w:jc w:val="left"/>
        <w:spacing w:before="0" w:after="0" w:line="3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 , </w:t>
      </w:r>
      <w:r>
        <w:rPr>
          <w:rStyle w:val="CharStyle16"/>
        </w:rPr>
        <w:t>/у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35" w:lineRule="exact"/>
        <w:ind w:left="20" w:right="220" w:firstLine="0"/>
        <w:sectPr>
          <w:type w:val="continuous"/>
          <w:pgSz w:w="11906" w:h="16838"/>
          <w:pgMar w:top="0" w:left="6769" w:right="855" w:bottom="93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Руководителю Ленинградского УФАС России А.Н. Плетешкову 191124, г. Санкт-Петербург, ул.Смольного, д.З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5" w:after="6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center"/>
        <w:spacing w:before="0" w:after="14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center"/>
        <w:spacing w:before="0" w:after="20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действия Заказчика, Уполномоченного органа, аукционной комиссии</w:t>
      </w:r>
    </w:p>
    <w:tbl>
      <w:tblPr>
        <w:tblOverlap w:val="never"/>
        <w:tblLayout w:type="fixed"/>
        <w:jc w:val="center"/>
      </w:tblPr>
      <w:tblGrid>
        <w:gridCol w:w="2856"/>
        <w:gridCol w:w="6566"/>
      </w:tblGrid>
      <w:tr>
        <w:trPr>
          <w:trHeight w:val="218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7"/>
              <w:framePr w:w="94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140" w:right="0" w:firstLine="0"/>
            </w:pPr>
            <w:r>
              <w:rPr>
                <w:rStyle w:val="CharStyle20"/>
              </w:rPr>
              <w:t>СВЕДЕНИЯ О ЗАЯВИТЕЛЕ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7"/>
              <w:framePr w:w="94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120" w:right="0" w:firstLine="0"/>
            </w:pPr>
            <w:r>
              <w:rPr>
                <w:rStyle w:val="CharStyle20"/>
              </w:rPr>
              <w:t>Общество с ограниченной ответственностью «Зарница»</w:t>
            </w:r>
          </w:p>
          <w:p>
            <w:pPr>
              <w:pStyle w:val="Style17"/>
              <w:framePr w:w="94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120" w:right="0" w:firstLine="0"/>
            </w:pPr>
            <w:r>
              <w:rPr>
                <w:rStyle w:val="CharStyle20"/>
              </w:rPr>
              <w:t>ИНН 7720296629/КПП 772001001 ОГРН 1157746253389</w:t>
            </w:r>
          </w:p>
          <w:p>
            <w:pPr>
              <w:pStyle w:val="Style17"/>
              <w:framePr w:w="94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120" w:right="0" w:firstLine="0"/>
            </w:pPr>
            <w:r>
              <w:rPr>
                <w:rStyle w:val="CharStyle20"/>
              </w:rPr>
              <w:t>место нахождения: 111123, Российская Федерация, г.Москва,</w:t>
            </w:r>
          </w:p>
          <w:p>
            <w:pPr>
              <w:pStyle w:val="Style17"/>
              <w:framePr w:w="94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120" w:right="0" w:firstLine="0"/>
            </w:pPr>
            <w:r>
              <w:rPr>
                <w:rStyle w:val="CharStyle20"/>
              </w:rPr>
              <w:t>ул.Владимирская 1-я, дом № 12, корпус 2</w:t>
            </w:r>
          </w:p>
          <w:p>
            <w:pPr>
              <w:pStyle w:val="Style17"/>
              <w:framePr w:w="94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120" w:right="0" w:firstLine="0"/>
            </w:pPr>
            <w:r>
              <w:rPr>
                <w:rStyle w:val="CharStyle20"/>
              </w:rPr>
              <w:t xml:space="preserve">почтовый адрес: 111123, Российская Федерация, г.Москва, ул.Владимирская 1-я, дом № 12, корпус 2 номера контактного телефона/факса: (495) 987-47-31 </w:t>
            </w:r>
            <w:r>
              <w:rPr>
                <w:rStyle w:val="CharStyle20"/>
                <w:lang w:val="en-US" w:eastAsia="en-US" w:bidi="en-US"/>
              </w:rPr>
              <w:t xml:space="preserve">e-mail: </w:t>
            </w:r>
            <w:r>
              <w:fldChar w:fldCharType="begin"/>
            </w:r>
            <w:r>
              <w:rPr>
                <w:rStyle w:val="CharStyle20"/>
              </w:rPr>
              <w:instrText> HYPERLINK "mailto:tender@zarnitza.ru" </w:instrText>
            </w:r>
            <w:r>
              <w:fldChar w:fldCharType="separate"/>
            </w:r>
            <w:r>
              <w:rPr>
                <w:rStyle w:val="Hyperlink"/>
                <w:lang w:val="en-US" w:eastAsia="en-US" w:bidi="en-US"/>
              </w:rPr>
              <w:t>tender@zarnitza.ru</w:t>
            </w:r>
            <w:r>
              <w:fldChar w:fldCharType="end"/>
            </w:r>
          </w:p>
          <w:p>
            <w:pPr>
              <w:pStyle w:val="Style17"/>
              <w:framePr w:w="94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120" w:right="0" w:firstLine="0"/>
            </w:pPr>
            <w:r>
              <w:rPr>
                <w:rStyle w:val="CharStyle20"/>
              </w:rPr>
              <w:t>Контактное лицо: Ионченкова Светлана Сергеевна</w:t>
            </w:r>
          </w:p>
        </w:tc>
      </w:tr>
      <w:tr>
        <w:trPr>
          <w:trHeight w:val="169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7"/>
              <w:framePr w:w="94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140" w:right="0" w:firstLine="0"/>
            </w:pPr>
            <w:r>
              <w:rPr>
                <w:rStyle w:val="CharStyle20"/>
              </w:rPr>
              <w:t>СВЕДЕНИЯ О ЗАКАЗЧИКЕ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7"/>
              <w:framePr w:w="94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120" w:right="0" w:firstLine="0"/>
            </w:pPr>
            <w:r>
              <w:rPr>
                <w:rStyle w:val="CharStyle20"/>
              </w:rPr>
              <w:t>Муниципальное общеобразовательное бюджетное учреждение «Кудровская средняя общеобразовательная школа № 1»</w:t>
            </w:r>
          </w:p>
          <w:p>
            <w:pPr>
              <w:pStyle w:val="Style17"/>
              <w:framePr w:w="94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120" w:right="0" w:firstLine="0"/>
            </w:pPr>
            <w:r>
              <w:rPr>
                <w:rStyle w:val="CharStyle20"/>
              </w:rPr>
              <w:t>Место нахождения и почтовый адрес: Ленинградская область, Всеволожский район, деревня Кудрово, ул. Центральная, д. 48. Телефон/факс: 8(812)616-01-58.</w:t>
            </w:r>
          </w:p>
          <w:p>
            <w:pPr>
              <w:pStyle w:val="Style17"/>
              <w:framePr w:w="94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120" w:right="0" w:firstLine="0"/>
            </w:pPr>
            <w:r>
              <w:rPr>
                <w:rStyle w:val="CharStyle20"/>
              </w:rPr>
              <w:t xml:space="preserve">Адрес электронной почты: </w:t>
            </w:r>
            <w:r>
              <w:fldChar w:fldCharType="begin"/>
            </w:r>
            <w:r>
              <w:rPr>
                <w:rStyle w:val="CharStyle20"/>
              </w:rPr>
              <w:instrText> HYPERLINK "mailto:kudrovo-sch-l@yandex.ru" </w:instrText>
            </w:r>
            <w:r>
              <w:fldChar w:fldCharType="separate"/>
            </w:r>
            <w:r>
              <w:rPr>
                <w:rStyle w:val="Hyperlink"/>
                <w:lang w:val="en-US" w:eastAsia="en-US" w:bidi="en-US"/>
              </w:rPr>
              <w:t>kudrovo-sch-l@yandex.ru</w:t>
            </w:r>
            <w:r>
              <w:fldChar w:fldCharType="end"/>
            </w:r>
            <w:r>
              <w:rPr>
                <w:rStyle w:val="CharStyle20"/>
                <w:lang w:val="en-US" w:eastAsia="en-US" w:bidi="en-US"/>
              </w:rPr>
              <w:t xml:space="preserve"> </w:t>
            </w:r>
            <w:r>
              <w:rPr>
                <w:rStyle w:val="CharStyle20"/>
              </w:rPr>
              <w:t>Контактное лицо: Яновицкая Наталья Игоревна</w:t>
            </w:r>
          </w:p>
        </w:tc>
      </w:tr>
      <w:tr>
        <w:trPr>
          <w:trHeight w:val="73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7"/>
              <w:framePr w:w="94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140" w:right="0" w:firstLine="0"/>
            </w:pPr>
            <w:r>
              <w:rPr>
                <w:rStyle w:val="CharStyle20"/>
              </w:rPr>
              <w:t>СВЕДЕНИЯ О КОМИССИИ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7"/>
              <w:framePr w:w="94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120" w:right="0" w:firstLine="0"/>
            </w:pPr>
            <w:r>
              <w:rPr>
                <w:rStyle w:val="CharStyle20"/>
              </w:rPr>
              <w:t>Состав единой комиссии: Кудряшова Д.А., Добжанская А.Н., Симонова Е.М., Петухов Е.Ю.</w:t>
            </w:r>
          </w:p>
        </w:tc>
      </w:tr>
      <w:tr>
        <w:trPr>
          <w:trHeight w:val="168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7"/>
              <w:framePr w:w="94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5" w:lineRule="exact"/>
              <w:ind w:left="140" w:right="0" w:firstLine="0"/>
            </w:pPr>
            <w:r>
              <w:rPr>
                <w:rStyle w:val="CharStyle20"/>
              </w:rPr>
              <w:t>СВЕДЕНИЯ ОБ</w:t>
            </w:r>
          </w:p>
          <w:p>
            <w:pPr>
              <w:pStyle w:val="Style17"/>
              <w:framePr w:w="94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5" w:lineRule="exact"/>
              <w:ind w:left="140" w:right="0" w:firstLine="0"/>
            </w:pPr>
            <w:r>
              <w:rPr>
                <w:rStyle w:val="CharStyle20"/>
              </w:rPr>
              <w:t>УПОЛНОМОЧЕННОМ</w:t>
            </w:r>
          </w:p>
          <w:p>
            <w:pPr>
              <w:pStyle w:val="Style17"/>
              <w:framePr w:w="94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5" w:lineRule="exact"/>
              <w:ind w:left="140" w:right="0" w:firstLine="0"/>
            </w:pPr>
            <w:r>
              <w:rPr>
                <w:rStyle w:val="CharStyle20"/>
              </w:rPr>
              <w:t>ОРГАНЕ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7"/>
              <w:framePr w:w="94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5" w:lineRule="exact"/>
              <w:ind w:left="120" w:right="0" w:firstLine="0"/>
            </w:pPr>
            <w:r>
              <w:rPr>
                <w:rStyle w:val="CharStyle20"/>
              </w:rPr>
              <w:t>Администрация муниципального образования «Всеволожский муниципальный район» Ленинградской области.</w:t>
            </w:r>
          </w:p>
          <w:p>
            <w:pPr>
              <w:pStyle w:val="Style17"/>
              <w:framePr w:w="94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5" w:lineRule="exact"/>
              <w:ind w:left="120" w:right="0" w:firstLine="0"/>
            </w:pPr>
            <w:r>
              <w:rPr>
                <w:rStyle w:val="CharStyle20"/>
              </w:rPr>
              <w:t>Местонахождение и почтовый адрес: 188640 Ленинградская область,</w:t>
            </w:r>
          </w:p>
          <w:p>
            <w:pPr>
              <w:pStyle w:val="Style17"/>
              <w:framePr w:w="94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5" w:lineRule="exact"/>
              <w:ind w:left="120" w:right="0" w:firstLine="0"/>
            </w:pPr>
            <w:r>
              <w:rPr>
                <w:rStyle w:val="CharStyle20"/>
              </w:rPr>
              <w:t>г. Всеволожск, Колтушское шоссе, д. 138</w:t>
            </w:r>
          </w:p>
          <w:p>
            <w:pPr>
              <w:pStyle w:val="Style17"/>
              <w:framePr w:w="94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5" w:lineRule="exact"/>
              <w:ind w:left="120" w:right="0" w:firstLine="0"/>
            </w:pPr>
            <w:r>
              <w:rPr>
                <w:rStyle w:val="CharStyle20"/>
              </w:rPr>
              <w:t>Контактное лицо - Сопрун Наталия Геннадьевна</w:t>
            </w:r>
          </w:p>
          <w:p>
            <w:pPr>
              <w:pStyle w:val="Style17"/>
              <w:framePr w:w="94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5" w:lineRule="exact"/>
              <w:ind w:left="120" w:right="0" w:firstLine="0"/>
            </w:pPr>
            <w:r>
              <w:rPr>
                <w:rStyle w:val="CharStyle20"/>
              </w:rPr>
              <w:t>Телефон / факс 8 (81370) 25-144 (135)</w:t>
            </w:r>
          </w:p>
          <w:p>
            <w:pPr>
              <w:pStyle w:val="Style17"/>
              <w:framePr w:w="94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5" w:lineRule="exact"/>
              <w:ind w:left="120" w:right="0" w:firstLine="0"/>
            </w:pPr>
            <w:r>
              <w:rPr>
                <w:rStyle w:val="CharStyle20"/>
              </w:rPr>
              <w:t xml:space="preserve">адрес электронной почты: </w:t>
            </w:r>
            <w:r>
              <w:fldChar w:fldCharType="begin"/>
            </w:r>
            <w:r>
              <w:rPr>
                <w:rStyle w:val="CharStyle20"/>
              </w:rPr>
              <w:instrText> HYPERLINK "mailto:skp@vsevreg.ru" </w:instrText>
            </w:r>
            <w:r>
              <w:fldChar w:fldCharType="separate"/>
            </w:r>
            <w:r>
              <w:rPr>
                <w:rStyle w:val="Hyperlink"/>
                <w:lang w:val="en-US" w:eastAsia="en-US" w:bidi="en-US"/>
              </w:rPr>
              <w:t>skp@vsevreg.ru</w:t>
            </w:r>
            <w:r>
              <w:fldChar w:fldCharType="end"/>
            </w:r>
          </w:p>
        </w:tc>
      </w:tr>
      <w:tr>
        <w:trPr>
          <w:trHeight w:val="169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7"/>
              <w:framePr w:w="94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69" w:lineRule="exact"/>
              <w:ind w:left="140" w:right="0" w:firstLine="0"/>
            </w:pPr>
            <w:r>
              <w:rPr>
                <w:rStyle w:val="CharStyle20"/>
              </w:rPr>
              <w:t>СВЕДЕНИЯ О РАЗМЕЩАЕМОМ ЗАКАЗЕ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7"/>
              <w:framePr w:w="94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120" w:right="0" w:firstLine="0"/>
            </w:pPr>
            <w:r>
              <w:rPr>
                <w:rStyle w:val="CharStyle20"/>
              </w:rPr>
              <w:t>Номер закупки: 0145300005217000390 Дата размещения закупки: 27.09.2017г.</w:t>
            </w:r>
          </w:p>
          <w:p>
            <w:pPr>
              <w:pStyle w:val="Style17"/>
              <w:framePr w:w="94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120" w:right="0" w:firstLine="0"/>
            </w:pPr>
            <w:r>
              <w:rPr>
                <w:rStyle w:val="CharStyle20"/>
              </w:rPr>
              <w:t xml:space="preserve">Дата размещения на официальном сайте протокола рассмотрения заявок на участие в электронном аукционе: 12.10.2017г. Наименование закупки: Стенды и таблички для холлов и кабинетов. Адрес официального сайта: </w:t>
            </w:r>
            <w:r>
              <w:fldChar w:fldCharType="begin"/>
            </w:r>
            <w:r>
              <w:rPr>
                <w:rStyle w:val="CharStyle20"/>
              </w:rPr>
              <w:instrText> HYPERLINK "http://www.zakupki.gov.ru" </w:instrText>
            </w:r>
            <w:r>
              <w:fldChar w:fldCharType="separate"/>
            </w:r>
            <w:r>
              <w:rPr>
                <w:rStyle w:val="Hyperlink"/>
                <w:lang w:val="en-US" w:eastAsia="en-US" w:bidi="en-US"/>
              </w:rPr>
              <w:t>www.zakupki.gov.ru</w:t>
            </w:r>
            <w:r>
              <w:fldChar w:fldCharType="end"/>
            </w:r>
            <w:r>
              <w:rPr>
                <w:rStyle w:val="CharStyle20"/>
                <w:lang w:val="en-US" w:eastAsia="en-US" w:bidi="en-US"/>
              </w:rPr>
              <w:t xml:space="preserve"> </w:t>
            </w:r>
            <w:r>
              <w:rPr>
                <w:rStyle w:val="CharStyle20"/>
              </w:rPr>
              <w:t xml:space="preserve">Адрес электронной площадки: </w:t>
            </w:r>
            <w:r>
              <w:fldChar w:fldCharType="begin"/>
            </w:r>
            <w:r>
              <w:rPr>
                <w:rStyle w:val="CharStyle20"/>
              </w:rPr>
              <w:instrText> HYPERLINK "http://www.etp-ets.ru" </w:instrText>
            </w:r>
            <w:r>
              <w:fldChar w:fldCharType="separate"/>
            </w:r>
            <w:r>
              <w:rPr>
                <w:rStyle w:val="Hyperlink"/>
                <w:lang w:val="en-US" w:eastAsia="en-US" w:bidi="en-US"/>
              </w:rPr>
              <w:t>http://www.etp-ets.ru</w:t>
            </w:r>
            <w:r>
              <w:fldChar w:fldCharType="end"/>
            </w:r>
          </w:p>
        </w:tc>
      </w:tr>
      <w:tr>
        <w:trPr>
          <w:trHeight w:val="1051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7"/>
              <w:framePr w:w="94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140" w:right="0" w:firstLine="0"/>
            </w:pPr>
            <w:r>
              <w:rPr>
                <w:rStyle w:val="CharStyle20"/>
              </w:rPr>
              <w:t>СУТЬ ЖАЛОБЫ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7"/>
              <w:framePr w:w="94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59" w:lineRule="exact"/>
              <w:ind w:left="0" w:right="0" w:firstLine="0"/>
            </w:pPr>
            <w:r>
              <w:rPr>
                <w:rStyle w:val="CharStyle21"/>
              </w:rPr>
              <w:t>Указание на обжалуемые действия (бездействие) заказчика, уполномоченного органа, аукционной комиссии (далее- Заказчик):</w:t>
            </w:r>
          </w:p>
          <w:p>
            <w:pPr>
              <w:pStyle w:val="Style17"/>
              <w:framePr w:w="94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120" w:right="0" w:firstLine="0"/>
            </w:pPr>
            <w:r>
              <w:rPr>
                <w:rStyle w:val="CharStyle20"/>
              </w:rPr>
              <w:t>Отклонение заявки Заявителя (№ 11) на участие в электронном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1690" w:right="783" w:bottom="87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83" w:lineRule="exact"/>
        <w:ind w:left="4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аукционе № 0145300005217000390 по следующему основанию: </w:t>
      </w:r>
      <w:r>
        <w:rPr>
          <w:rStyle w:val="CharStyle22"/>
        </w:rPr>
        <w:t xml:space="preserve">Основание отклонения: п. 2 </w:t>
      </w:r>
      <w:r>
        <w:rPr>
          <w:rStyle w:val="CharStyle23"/>
        </w:rPr>
        <w:t xml:space="preserve">ч. </w:t>
      </w:r>
      <w:r>
        <w:rPr>
          <w:rStyle w:val="CharStyle22"/>
        </w:rPr>
        <w:t xml:space="preserve">4 </w:t>
      </w:r>
      <w:r>
        <w:rPr>
          <w:rStyle w:val="CharStyle23"/>
        </w:rPr>
        <w:t xml:space="preserve">ст. </w:t>
      </w:r>
      <w:r>
        <w:rPr>
          <w:rStyle w:val="CharStyle22"/>
        </w:rPr>
        <w:t xml:space="preserve">67 </w:t>
      </w:r>
      <w:r>
        <w:rPr>
          <w:rStyle w:val="CharStyle23"/>
        </w:rPr>
        <w:t xml:space="preserve">Федерального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закона от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4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05.04.2013 №44-ФЗ, пп. 2 п. 13.1.1 документации об электронном аукционе.</w:t>
      </w:r>
    </w:p>
    <w:p>
      <w:pPr>
        <w:pStyle w:val="Style17"/>
        <w:tabs>
          <w:tab w:leader="none" w:pos="3045" w:val="lef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40" w:right="60" w:firstLine="0"/>
      </w:pPr>
      <w:r>
        <w:rPr>
          <w:rStyle w:val="CharStyle24"/>
        </w:rPr>
        <w:t xml:space="preserve">Обоснование решения: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 нарушение требований п, 9.1 документации об электронном аукционе, инструкции по заполнению первой части заявки (далее — инструкция) участником закупки в заявке указаны сведения,</w:t>
        <w:tab/>
        <w:t>несоответствующие требованиям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документации об электронном аукционе. Так:</w:t>
      </w:r>
    </w:p>
    <w:p>
      <w:pPr>
        <w:pStyle w:val="Style17"/>
        <w:numPr>
          <w:ilvl w:val="0"/>
          <w:numId w:val="1"/>
        </w:numPr>
        <w:tabs>
          <w:tab w:leader="none" w:pos="4840" w:val="lef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4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для товара по </w:t>
      </w:r>
      <w:r>
        <w:rPr>
          <w:rStyle w:val="CharStyle25"/>
        </w:rPr>
        <w:t xml:space="preserve">п. 1 «Композиция для оформления холла школы»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участником в заявке указано: «Материал: ПВХ толщиной 4мм со следующими характеристиками: Плотность </w:t>
      </w:r>
      <w:r>
        <w:rPr>
          <w:rStyle w:val="CharStyle24"/>
        </w:rPr>
        <w:t>0,55</w:t>
        <w:tab/>
        <w:t>г/см</w:t>
      </w:r>
      <w:r>
        <w:rPr>
          <w:rStyle w:val="CharStyle24"/>
          <w:vertAlign w:val="superscript"/>
        </w:rPr>
        <w:t>3</w:t>
      </w:r>
      <w:r>
        <w:rPr>
          <w:rStyle w:val="CharStyle24"/>
        </w:rPr>
        <w:t xml:space="preserve">»,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вместе с тем, в техническом задании установлены требования: </w:t>
      </w:r>
      <w:r>
        <w:rPr>
          <w:rStyle w:val="CharStyle25"/>
        </w:rPr>
        <w:t xml:space="preserve">«ПВХ толщиной от 3 мм со следующими характеристиками: Плотность </w:t>
      </w:r>
      <w:r>
        <w:rPr>
          <w:rStyle w:val="CharStyle24"/>
        </w:rPr>
        <w:t>0,53-0,55 г/см</w:t>
      </w:r>
      <w:r>
        <w:rPr>
          <w:rStyle w:val="CharStyle24"/>
          <w:vertAlign w:val="superscript"/>
        </w:rPr>
        <w:t>3</w:t>
      </w:r>
      <w:r>
        <w:rPr>
          <w:rStyle w:val="CharStyle24"/>
        </w:rPr>
        <w:t>»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spacing w:before="0" w:after="0"/>
        <w:ind w:left="40" w:right="60" w:firstLine="0"/>
      </w:pPr>
      <w:r>
        <w:rPr>
          <w:rStyle w:val="CharStyle28"/>
          <w:i w:val="0"/>
          <w:iCs w:val="0"/>
        </w:rPr>
        <w:t xml:space="preserve">В соответствии с требованиями инструкции по заполнению первой части заявки значение указанного показателя является неизменным.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«Во всех иных случаях, не указанных выше, установлены значения показателей, которые не могут изменяться, и участник закупки в заявке обязан указать сведения о значениях данных показателей точно в соответствии с Техническим заданием».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4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Участником указано значение показателя, не соответствующее значению, установленному документацией об электронном аукционе.</w:t>
      </w:r>
    </w:p>
    <w:p>
      <w:pPr>
        <w:pStyle w:val="Style1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4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для товара по </w:t>
      </w:r>
      <w:r>
        <w:rPr>
          <w:rStyle w:val="CharStyle25"/>
        </w:rPr>
        <w:t>п. 90 «Информационный стенд «Сдаем нормы ГТО»»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участником в заявке указано: «Карманы крепятся к стенду на 2х сторонний скотч на 0,5 см от края с обводкой кармана по периметру оракал цветной </w:t>
      </w:r>
      <w:r>
        <w:rPr>
          <w:rStyle w:val="CharStyle24"/>
        </w:rPr>
        <w:t xml:space="preserve">0,6 см.»,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вместе с тем, в техническом задании установлены требования: </w:t>
      </w:r>
      <w:r>
        <w:rPr>
          <w:rStyle w:val="CharStyle25"/>
        </w:rPr>
        <w:t>«Карманы крепятся к стенду на 2х сторонний скотч на 0,5 см от края с обводкой кармана по периметру оракал цветной 0,5-1 см.»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spacing w:before="0" w:after="0"/>
        <w:ind w:left="40" w:right="60" w:firstLine="0"/>
      </w:pPr>
      <w:r>
        <w:rPr>
          <w:rStyle w:val="CharStyle28"/>
          <w:i w:val="0"/>
          <w:iCs w:val="0"/>
        </w:rPr>
        <w:t xml:space="preserve">В соответствии с требованиями инструкции по заполнению первой части заявки значение указанного показателя является неизменным.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«Во всех иных случаях, не указанных выше, установлены значения показателей, которые не могут изменяться, и участник закупки в заявке обязан указать сведения о значениях данных показателей точно в соответствии с Техническим заданием».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180" w:line="240" w:lineRule="exact"/>
        <w:ind w:left="4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Участником указано значение показателя, не соответствующее значению, установленному документацией об электронном аукционе.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Доводы жалобы: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4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Считаем </w:t>
      </w:r>
      <w:r>
        <w:rPr>
          <w:rStyle w:val="CharStyle24"/>
        </w:rPr>
        <w:t xml:space="preserve">Основание отклонения: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п. 2 ч. 4 ст. 67 Федерального закона от 05.04.2013 №44-ФЗ, пп. 2 п. 13.1.1 документации об электронном аукционе </w:t>
      </w:r>
      <w:r>
        <w:rPr>
          <w:rStyle w:val="CharStyle24"/>
        </w:rPr>
        <w:t>не обоснованным, по следующим причинам: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40" w:right="6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1.Заказчик ссылается на несоответствия информации, предусмотренной </w:t>
      </w:r>
      <w:r>
        <w:rPr>
          <w:rStyle w:val="CharStyle19"/>
        </w:rPr>
        <w:t>частью 3 статьи 66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настоящего Федерального закона, требованиям документации о таком аукционе, что не соответствует действительности. Заявка составлена в соответствии с ч.З ст.66, без нарушений, а именно: заявитель предоставил конкретные значения, соответствующие значениям, приведенным в документации производителя товара. При описании функциональных, технических и иных характеристик предлагаемого к поставке оборудования указаны конкретные характеристики за исключением случаев, когда указанным способом показатели характеристик товара обозначаются производителем товара. Характеристики:</w:t>
      </w:r>
    </w:p>
    <w:p>
      <w:pPr>
        <w:pStyle w:val="Style1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4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для товара по </w:t>
      </w:r>
      <w:r>
        <w:rPr>
          <w:rStyle w:val="CharStyle25"/>
        </w:rPr>
        <w:t xml:space="preserve">п. 1 «Композиция для оформления холла школы»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участником в заявке указано: «Материал: ПВХ толщиной 4мм со следующими характеристиками: Плотность </w:t>
      </w:r>
      <w:r>
        <w:rPr>
          <w:rStyle w:val="CharStyle24"/>
        </w:rPr>
        <w:t>0,55 г/см</w:t>
      </w:r>
      <w:r>
        <w:rPr>
          <w:rStyle w:val="CharStyle24"/>
          <w:vertAlign w:val="superscript"/>
        </w:rPr>
        <w:t>3</w:t>
      </w:r>
      <w:r>
        <w:rPr>
          <w:rStyle w:val="CharStyle24"/>
        </w:rPr>
        <w:t>»</w:t>
      </w:r>
    </w:p>
    <w:p>
      <w:pPr>
        <w:pStyle w:val="Style2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</w:pPr>
      <w:r>
        <w:rPr>
          <w:rStyle w:val="CharStyle28"/>
          <w:i w:val="0"/>
          <w:iCs w:val="0"/>
        </w:rPr>
        <w:t xml:space="preserve"> для товара по </w:t>
      </w:r>
      <w:r>
        <w:rPr>
          <w:rStyle w:val="CharStyle31"/>
          <w:i w:val="0"/>
          <w:iCs w:val="0"/>
        </w:rPr>
        <w:t xml:space="preserve">л.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90 «Информационный стенд «Сдаем нормы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40" w:right="20" w:firstLine="0"/>
      </w:pPr>
      <w:r>
        <w:rPr>
          <w:rStyle w:val="CharStyle25"/>
        </w:rPr>
        <w:t>ГТО»»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участником в заявке указано: «Карманы крепятся к стенду на </w:t>
      </w:r>
      <w:r>
        <w:rPr>
          <w:rStyle w:val="CharStyle23"/>
        </w:rPr>
        <w:t xml:space="preserve">2х сторонний скотч на 0,5 см от края с обводкой кармана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периметру оракал цветной </w:t>
      </w:r>
      <w:r>
        <w:rPr>
          <w:rStyle w:val="CharStyle24"/>
        </w:rPr>
        <w:t>0,6 см.»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40" w:right="20" w:firstLine="0"/>
      </w:pPr>
      <w:r>
        <w:rPr>
          <w:rStyle w:val="CharStyle24"/>
        </w:rPr>
        <w:t xml:space="preserve">являются конкретными, а не диапазонными значениями, о чем свидетельствуют отсутствие указания на диапазон в техническом задании данных позиций и разночтение одного и того же показателя в техническом задании, а именно: </w:t>
      </w:r>
      <w:r>
        <w:rPr>
          <w:rStyle w:val="CharStyle25"/>
        </w:rPr>
        <w:t xml:space="preserve">п. 89 «Информационный стенд Готовимся к экзаменам»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Заказчиком в техническом задании указано: «Карманы крепятся к стенду на 2х сторонний скотч на 0,5 см от края с обводкой кармана по периметру </w:t>
      </w:r>
      <w:r>
        <w:rPr>
          <w:rStyle w:val="CharStyle24"/>
        </w:rPr>
        <w:t xml:space="preserve">оракал цветной от 0,5 до 1 см». </w:t>
      </w:r>
      <w:r>
        <w:rPr>
          <w:rStyle w:val="CharStyle25"/>
        </w:rPr>
        <w:t>п.90 «Информационный стенд Сдаем нормы ГТО»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Заказчиком в техническом задании указано: «Карманы крепятся к стенду на 2х сторонний скотч на 0,5 см от края с обводкой кармана по периметру </w:t>
      </w:r>
      <w:r>
        <w:rPr>
          <w:rStyle w:val="CharStyle24"/>
        </w:rPr>
        <w:t>оракал цветпой 0,5-1 см».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35" w:lineRule="exact"/>
        <w:ind w:left="40" w:right="20" w:firstLine="0"/>
      </w:pPr>
      <w:r>
        <w:rPr>
          <w:rStyle w:val="CharStyle24"/>
        </w:rPr>
        <w:t xml:space="preserve">п.91 </w:t>
      </w:r>
      <w:r>
        <w:rPr>
          <w:rStyle w:val="CharStyle32"/>
        </w:rPr>
        <w:t>«</w:t>
      </w:r>
      <w:r>
        <w:rPr>
          <w:rStyle w:val="CharStyle25"/>
        </w:rPr>
        <w:t>Настенный стенд с пластиковыми карманами Объявления, новости, готовимся к аттестации»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Заказчиком в техническом задании указано: «Карманы крепятся к стенду на 2х сторонний скотч на 0,5 см от края с обводкой кармана по периметру </w:t>
      </w:r>
      <w:r>
        <w:rPr>
          <w:rStyle w:val="CharStyle24"/>
        </w:rPr>
        <w:t>оракал цветной 0,5 см».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35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вышеперечисленного видно, что Заказчик на характеристику, которая является конкретной, устанавливает разные требования к одному и тому же показателю, а именно, в одном месте данный показатель является конкретным, а в другом диапазонным, что противоречит п. 1ч. 1 ст.64.</w:t>
      </w:r>
    </w:p>
    <w:p>
      <w:pPr>
        <w:pStyle w:val="Style17"/>
        <w:numPr>
          <w:ilvl w:val="0"/>
          <w:numId w:val="3"/>
        </w:numPr>
        <w:tabs>
          <w:tab w:leader="none" w:pos="933" w:val="left"/>
        </w:tabs>
        <w:widowControl w:val="0"/>
        <w:keepNext w:val="0"/>
        <w:keepLines w:val="0"/>
        <w:shd w:val="clear" w:color="auto" w:fill="auto"/>
        <w:bidi w:val="0"/>
        <w:spacing w:before="0" w:after="0" w:line="235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Также Заказчик в своем обосновании ссылается на инструкцию, которая составлена с нарушениями п.2 ч.1 ст.64 Федерального закона от 05.04.2013 №44-ФЗ, а именно: Заказчиком умышленно составлено техническое задание на внимательность, а инструкция, которая является инструкцией по заполнению заявки является установлением требований, влекущих за собой ограничение количества участников такого аукциона или ограничение доступа к участию в таком аукционе, что подтверждает, </w:t>
      </w:r>
      <w:r>
        <w:rPr>
          <w:rStyle w:val="CharStyle24"/>
        </w:rPr>
        <w:t xml:space="preserve">Протокол рассмотрения заявок на участие в электронном аукционе от 12.10.2017г.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Из 15 (пятнадцати) заявок, допущено всего 5 (пять). А из </w:t>
      </w:r>
      <w:r>
        <w:rPr>
          <w:rStyle w:val="CharStyle24"/>
        </w:rPr>
        <w:t xml:space="preserve">Протокола подведении итогов электронного аукциона от 16.10.2017г.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видно, что в аукционе принимали участие, только два участника с минимальным снижением цены (1 % от начальной (максимальной) цены.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40" w:right="20" w:firstLine="0"/>
        <w:sectPr>
          <w:pgSz w:w="11906" w:h="16838"/>
          <w:pgMar w:top="1185" w:left="4184" w:right="1318" w:bottom="1166" w:header="0" w:footer="3" w:gutter="0"/>
          <w:rtlGutter w:val="0"/>
          <w:cols w:space="720"/>
          <w:noEndnote/>
          <w:docGrid w:linePitch="360"/>
        </w:sectPr>
      </w:pPr>
      <w:r>
        <w:rPr>
          <w:rStyle w:val="CharStyle28"/>
          <w:i w:val="0"/>
          <w:iCs w:val="0"/>
        </w:rPr>
        <w:t xml:space="preserve">Также, Заказчик в своём основании отклонения, указывает неполную фразу инструкции, что меняет значительно её смысл, а именно: </w:t>
      </w:r>
      <w:r>
        <w:rPr>
          <w:rStyle w:val="CharStyle31"/>
          <w:i w:val="0"/>
          <w:iCs w:val="0"/>
        </w:rPr>
        <w:t xml:space="preserve">Фраза: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«Во всех иных случаях, не указанных выше, установлены значения показателей, которые не могут изменяться, и участник закупки в заявке обязан указать сведения о значениях данных показателей точно в соответствии с Техническим заданием»,</w:t>
      </w:r>
      <w:r>
        <w:rPr>
          <w:rStyle w:val="CharStyle28"/>
          <w:i w:val="0"/>
          <w:iCs w:val="0"/>
        </w:rPr>
        <w:t xml:space="preserve"> </w:t>
      </w:r>
      <w:r>
        <w:rPr>
          <w:rStyle w:val="CharStyle31"/>
          <w:i w:val="0"/>
          <w:iCs w:val="0"/>
        </w:rPr>
        <w:t xml:space="preserve">в инструкции звучит так: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«Во всех иных случаях, не указанных выше, установлены значения показателей, которые не могут изменяться, и участник закупки в заявке обязан указать сведения о значениях данных показателей точно в соответствии с Техническим заданием, без использования слов «должен (-на; -но;-ны)», «необходим (-ма; - мы; -мо)», «требуется», «требуемый (-мая; -мое; -мые)», «надлежит» «следует», «подлежит».</w:t>
      </w:r>
      <w:r>
        <w:rPr>
          <w:rStyle w:val="CharStyle28"/>
          <w:i w:val="0"/>
          <w:iCs w:val="0"/>
        </w:rPr>
        <w:t xml:space="preserve"> </w:t>
      </w:r>
      <w:r>
        <w:rPr>
          <w:rStyle w:val="CharStyle31"/>
          <w:i w:val="0"/>
          <w:iCs w:val="0"/>
        </w:rPr>
        <w:t xml:space="preserve">Данная формулировка указывает конкретно использование слов: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«должен (-на; -но;- ны)», «необходим (-ма; -мы; -мо)», «требуется», «требуемый (- мая; -мое; -мые)», «надлежит</w:t>
      </w:r>
      <w:r>
        <w:rPr>
          <w:rStyle w:val="CharStyle28"/>
          <w:i w:val="0"/>
          <w:iCs w:val="0"/>
        </w:rPr>
        <w:t xml:space="preserve">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«следует», «подлежит»</w:t>
      </w:r>
      <w:r>
        <w:rPr>
          <w:rStyle w:val="CharStyle28"/>
          <w:i w:val="0"/>
          <w:iCs w:val="0"/>
        </w:rPr>
        <w:t xml:space="preserve"> </w:t>
      </w:r>
      <w:r>
        <w:rPr>
          <w:rStyle w:val="CharStyle31"/>
          <w:i w:val="0"/>
          <w:iCs w:val="0"/>
        </w:rPr>
        <w:t>, из чего следует, что требования являются неизменными в том случае, если используются данные слова, и об этом заказчик в протоколе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28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Учитывая, всё вышеизложенное Заявитель считает, что:</w:t>
      </w:r>
    </w:p>
    <w:p>
      <w:pPr>
        <w:pStyle w:val="Style1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356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Участником были соблюдены все требования федерального закона от 05.04.2013 №44-ФЗ "О контрактной системе в сфере закупок товаров, работ, услуг для обеспечения государственных и муниципальных нужд", в т.ч. п. 2 ч. 4 ст. 67 Федерального закона от 05.04.2013 №44-ФЗ, пп. 2 п. 13.1.1 документации об электронном аукционе.</w:t>
      </w:r>
    </w:p>
    <w:p>
      <w:pPr>
        <w:pStyle w:val="Style1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356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Заказчиком установлены излишние и противоречивые требования к техническим параметрам, не соответствующие требованиям Законодательства.</w:t>
      </w:r>
    </w:p>
    <w:p>
      <w:pPr>
        <w:pStyle w:val="Style1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180" w:line="240" w:lineRule="exact"/>
        <w:ind w:left="356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Аукционная документация и инструкция по заполнению заявки составлена с нарушениями п.2 ч.1 ст.64 Федерального закона от 05.04.2013 №44-ФЗ.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8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просим Вас:</w:t>
      </w:r>
    </w:p>
    <w:p>
      <w:pPr>
        <w:pStyle w:val="Style1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356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«Зарница» обоснованной;</w:t>
      </w:r>
    </w:p>
    <w:p>
      <w:pPr>
        <w:pStyle w:val="Style1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356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Приостановить закупку до рассмотрения жалобы по существу.</w:t>
      </w:r>
    </w:p>
    <w:p>
      <w:pPr>
        <w:pStyle w:val="Style1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356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отказ в допуске к участию ООО «Зарница» в электронном аукционе неправомерным;</w:t>
      </w:r>
    </w:p>
    <w:p>
      <w:pPr>
        <w:pStyle w:val="Style17"/>
        <w:numPr>
          <w:ilvl w:val="0"/>
          <w:numId w:val="7"/>
        </w:numPr>
        <w:tabs>
          <w:tab w:leader="none" w:pos="9196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356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аукцион №</w:t>
        <w:tab/>
        <w:t>0145300005217000390 несоответствующим требованиям законодательства и отменить его итоги;</w:t>
      </w:r>
    </w:p>
    <w:p>
      <w:pPr>
        <w:pStyle w:val="Style1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356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Провести внеплановую проверку в соответствии со ст.99 Закона №44-ФЗ;</w:t>
      </w:r>
    </w:p>
    <w:p>
      <w:pPr>
        <w:pStyle w:val="Style1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356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предписание об устранении допущенных нарушений;</w:t>
      </w:r>
    </w:p>
    <w:p>
      <w:pPr>
        <w:pStyle w:val="Style1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1429" w:line="240" w:lineRule="exact"/>
        <w:ind w:left="356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Обязать аукционную комиссию повторно рассмотреть первые части заявок и допустить ООО «Зарница» до участия.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54" w:lineRule="exact"/>
        <w:ind w:left="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Приложения к жалобе:</w:t>
      </w:r>
    </w:p>
    <w:p>
      <w:pPr>
        <w:pStyle w:val="Style17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54" w:lineRule="exact"/>
        <w:ind w:left="12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заявки на участие в электронном аукционе № 0145300005217000390;</w:t>
      </w:r>
    </w:p>
    <w:p>
      <w:pPr>
        <w:pStyle w:val="Style17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54" w:lineRule="exact"/>
        <w:ind w:left="1220" w:right="2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Протокола рассмотрения заявок на участие в электронном аукционе №0145300005217000390 ;</w:t>
      </w:r>
    </w:p>
    <w:p>
      <w:pPr>
        <w:pStyle w:val="Style17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54" w:lineRule="exact"/>
        <w:ind w:left="1220" w:right="2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Протокола подведения итогов электронного аукциона № 0145300005217000390;</w:t>
      </w:r>
    </w:p>
    <w:p>
      <w:pPr>
        <w:pStyle w:val="Style17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54" w:lineRule="exact"/>
        <w:ind w:left="12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решения № 2;</w:t>
      </w:r>
    </w:p>
    <w:p>
      <w:pPr>
        <w:pStyle w:val="Style17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429" w:line="254" w:lineRule="exact"/>
        <w:ind w:left="12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приказа №2-1 /ах.</w:t>
      </w:r>
    </w:p>
    <w:sectPr>
      <w:type w:val="continuous"/>
      <w:pgSz w:w="11906" w:h="16838"/>
      <w:pgMar w:top="1762" w:left="1340" w:right="1354" w:bottom="119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0"/>
        <w:szCs w:val="20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"/>
      <w:numFmt w:val="decimal"/>
      <w:lvlText w:val="%1.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0"/>
        <w:szCs w:val="20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0"/>
        <w:szCs w:val="20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0"/>
        <w:szCs w:val="20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0"/>
        <w:szCs w:val="20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  <w:spacing w:val="3"/>
    </w:rPr>
  </w:style>
  <w:style w:type="character" w:customStyle="1" w:styleId="CharStyle6">
    <w:name w:val="Заголовок №3_"/>
    <w:basedOn w:val="DefaultParagraphFont"/>
    <w:link w:val="Style5"/>
    <w:rPr>
      <w:lang w:val="en-US" w:eastAsia="en-US" w:bidi="en-US"/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60"/>
    </w:rPr>
  </w:style>
  <w:style w:type="character" w:customStyle="1" w:styleId="CharStyle11">
    <w:name w:val="Основной текст (3)_"/>
    <w:basedOn w:val="DefaultParagraphFont"/>
    <w:link w:val="Style3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Заголовок №2_"/>
    <w:basedOn w:val="DefaultParagraphFont"/>
    <w:link w:val="Style12"/>
    <w:rPr>
      <w:b w:val="0"/>
      <w:bCs w:val="0"/>
      <w:i/>
      <w:iCs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-10"/>
    </w:rPr>
  </w:style>
  <w:style w:type="character" w:customStyle="1" w:styleId="CharStyle15">
    <w:name w:val="Основной текст (4) Exact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</w:rPr>
  </w:style>
  <w:style w:type="character" w:customStyle="1" w:styleId="CharStyle16">
    <w:name w:val="Основной текст (4) + Courier New,13 pt,Курсив,Интервал 2 pt Exact"/>
    <w:basedOn w:val="CharStyle15"/>
    <w:rPr>
      <w:lang w:val="ru-RU" w:eastAsia="ru-RU" w:bidi="ru-RU"/>
      <w:i/>
      <w:iCs/>
      <w:sz w:val="26"/>
      <w:szCs w:val="26"/>
      <w:rFonts w:ascii="Courier New" w:eastAsia="Courier New" w:hAnsi="Courier New" w:cs="Courier New"/>
      <w:w w:val="100"/>
      <w:spacing w:val="40"/>
      <w:color w:val="000000"/>
      <w:position w:val="0"/>
    </w:rPr>
  </w:style>
  <w:style w:type="character" w:customStyle="1" w:styleId="CharStyle18">
    <w:name w:val="Основной текст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9">
    <w:name w:val="Основной текст"/>
    <w:basedOn w:val="CharStyle18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0">
    <w:name w:val="Основной текст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Основной текст + Полужирный"/>
    <w:basedOn w:val="CharStyle1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2">
    <w:name w:val="Основной текст + 14 pt,Масштаб 70%"/>
    <w:basedOn w:val="CharStyle18"/>
    <w:rPr>
      <w:lang w:val="ru-RU" w:eastAsia="ru-RU" w:bidi="ru-RU"/>
      <w:sz w:val="28"/>
      <w:szCs w:val="28"/>
      <w:w w:val="70"/>
      <w:spacing w:val="0"/>
      <w:color w:val="000000"/>
      <w:position w:val="0"/>
    </w:rPr>
  </w:style>
  <w:style w:type="character" w:customStyle="1" w:styleId="CharStyle23">
    <w:name w:val="Основной текст + 12 pt,Масштаб 80%"/>
    <w:basedOn w:val="CharStyle18"/>
    <w:rPr>
      <w:lang w:val="ru-RU" w:eastAsia="ru-RU" w:bidi="ru-RU"/>
      <w:sz w:val="24"/>
      <w:szCs w:val="24"/>
      <w:w w:val="80"/>
      <w:spacing w:val="0"/>
      <w:color w:val="000000"/>
      <w:position w:val="0"/>
    </w:rPr>
  </w:style>
  <w:style w:type="character" w:customStyle="1" w:styleId="CharStyle24">
    <w:name w:val="Основной текст + Полужирный"/>
    <w:basedOn w:val="CharStyle1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5">
    <w:name w:val="Основной текст + Курсив"/>
    <w:basedOn w:val="CharStyle18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7">
    <w:name w:val="Основной текст (5)_"/>
    <w:basedOn w:val="DefaultParagraphFont"/>
    <w:link w:val="Style26"/>
    <w:rPr>
      <w:b w:val="0"/>
      <w:bCs w:val="0"/>
      <w:i/>
      <w:iCs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8">
    <w:name w:val="Основной текст (5) + Не курсив"/>
    <w:basedOn w:val="CharStyle27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30">
    <w:name w:val="Основной текст (6)_"/>
    <w:basedOn w:val="DefaultParagraphFont"/>
    <w:link w:val="Style29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31">
    <w:name w:val="Основной текст (5) + Полужирный,Не курсив"/>
    <w:basedOn w:val="CharStyle27"/>
    <w:rPr>
      <w:lang w:val="ru-RU" w:eastAsia="ru-RU" w:bidi="ru-RU"/>
      <w:b/>
      <w:bCs/>
      <w:i/>
      <w:iCs/>
      <w:w w:val="100"/>
      <w:spacing w:val="0"/>
      <w:color w:val="000000"/>
      <w:position w:val="0"/>
    </w:rPr>
  </w:style>
  <w:style w:type="character" w:customStyle="1" w:styleId="CharStyle32">
    <w:name w:val="Основной текст + Курсив"/>
    <w:basedOn w:val="CharStyle18"/>
    <w:rPr>
      <w:lang w:val="ru-RU" w:eastAsia="ru-RU" w:bidi="ru-RU"/>
      <w:i/>
      <w:iCs/>
      <w:w w:val="100"/>
      <w:spacing w:val="0"/>
      <w:color w:val="000000"/>
      <w:position w:val="0"/>
    </w:rPr>
  </w:style>
  <w:style w:type="paragraph" w:customStyle="1" w:styleId="Style3">
    <w:name w:val="Основной текст (3)"/>
    <w:basedOn w:val="Normal"/>
    <w:link w:val="CharStyle11"/>
    <w:pPr>
      <w:widowControl w:val="0"/>
      <w:shd w:val="clear" w:color="auto" w:fill="FFFFFF"/>
      <w:jc w:val="both"/>
      <w:spacing w:after="240" w:line="326" w:lineRule="exact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Заголовок №3"/>
    <w:basedOn w:val="Normal"/>
    <w:link w:val="CharStyle6"/>
    <w:pPr>
      <w:widowControl w:val="0"/>
      <w:shd w:val="clear" w:color="auto" w:fill="FFFFFF"/>
      <w:outlineLvl w:val="2"/>
      <w:spacing w:line="326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line="326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right"/>
      <w:outlineLvl w:val="0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60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FFFFFF"/>
      <w:jc w:val="right"/>
      <w:outlineLvl w:val="1"/>
      <w:spacing w:line="0" w:lineRule="exact"/>
    </w:pPr>
    <w:rPr>
      <w:b w:val="0"/>
      <w:bCs w:val="0"/>
      <w:i/>
      <w:iCs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-10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FFFFFF"/>
      <w:jc w:val="both"/>
      <w:spacing w:after="360" w:line="0" w:lineRule="exact"/>
      <w:ind w:hanging="340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6">
    <w:name w:val="Основной текст (5)"/>
    <w:basedOn w:val="Normal"/>
    <w:link w:val="CharStyle27"/>
    <w:pPr>
      <w:widowControl w:val="0"/>
      <w:shd w:val="clear" w:color="auto" w:fill="FFFFFF"/>
      <w:jc w:val="both"/>
      <w:spacing w:line="240" w:lineRule="exact"/>
    </w:pPr>
    <w:rPr>
      <w:b w:val="0"/>
      <w:bCs w:val="0"/>
      <w:i/>
      <w:iCs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9">
    <w:name w:val="Основной текст (6)"/>
    <w:basedOn w:val="Normal"/>
    <w:link w:val="CharStyle30"/>
    <w:pPr>
      <w:widowControl w:val="0"/>
      <w:shd w:val="clear" w:color="auto" w:fill="FFFFFF"/>
      <w:jc w:val="both"/>
      <w:spacing w:before="180" w:line="24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