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Государственному заказчику</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ФКУЗ «Санаторий «Борок» МВД России»</w:t>
      </w:r>
    </w:p>
    <w:p>
      <w:pPr>
        <w:pStyle w:val="Style7"/>
        <w:widowControl w:val="0"/>
        <w:keepNext w:val="0"/>
        <w:keepLines w:val="0"/>
        <w:shd w:val="clear" w:color="auto" w:fill="auto"/>
        <w:bidi w:val="0"/>
        <w:jc w:val="left"/>
        <w:spacing w:before="0" w:after="0"/>
        <w:ind w:left="0" w:right="240" w:firstLine="0"/>
        <w:sectPr>
          <w:footnotePr>
            <w:pos w:val="pageBottom"/>
            <w:numFmt w:val="decimal"/>
            <w:numRestart w:val="continuous"/>
          </w:footnotePr>
          <w:type w:val="continuous"/>
          <w:pgSz w:w="11906" w:h="16838"/>
          <w:pgMar w:top="638" w:left="5823" w:right="1167" w:bottom="456" w:header="0" w:footer="3" w:gutter="0"/>
          <w:rtlGutter w:val="0"/>
          <w:cols w:space="720"/>
          <w:noEndnote/>
          <w:docGrid w:linePitch="360"/>
        </w:sectPr>
      </w:pPr>
      <w:r>
        <w:rPr>
          <w:lang w:val="ru-RU" w:eastAsia="ru-RU" w:bidi="ru-RU"/>
          <w:w w:val="100"/>
          <w:spacing w:val="0"/>
          <w:color w:val="000000"/>
          <w:position w:val="0"/>
        </w:rPr>
        <w:t>ст. Катынь, Смоленский район, Смоленская область, 214522</w:t>
      </w:r>
    </w:p>
    <w:p>
      <w:pPr>
        <w:widowControl w:val="0"/>
        <w:spacing w:line="19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0" w:line="216" w:lineRule="exact"/>
        <w:ind w:left="0" w:right="0" w:firstLine="0"/>
        <w:sectPr>
          <w:type w:val="continuous"/>
          <w:pgSz w:w="11906" w:h="16838"/>
          <w:pgMar w:top="638" w:left="1436" w:right="7014" w:bottom="11265"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34"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66" w:wrap="around" w:vAnchor="text" w:hAnchor="margin" w:x="-282" w:y="2348"/>
        <w:widowControl w:val="0"/>
        <w:keepNext w:val="0"/>
        <w:keepLines w:val="0"/>
        <w:shd w:val="clear" w:color="auto" w:fill="auto"/>
        <w:bidi w:val="0"/>
        <w:jc w:val="left"/>
        <w:spacing w:before="0" w:after="0" w:line="160" w:lineRule="exact"/>
        <w:ind w:left="0" w:right="0" w:firstLine="0"/>
      </w:pPr>
      <w:r>
        <w:rPr>
          <w:rStyle w:val="CharStyle9"/>
          <w:b/>
          <w:bCs/>
          <w:spacing w:val="0"/>
        </w:rPr>
        <w:t>на №</w:t>
      </w:r>
    </w:p>
    <w:p>
      <w:pPr>
        <w:widowControl w:val="0"/>
        <w:rPr>
          <w:sz w:val="2"/>
          <w:szCs w:val="2"/>
        </w:rPr>
      </w:pPr>
    </w:p>
    <w:p>
      <w:pPr>
        <w:pStyle w:val="Style5"/>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7"/>
        <w:widowControl w:val="0"/>
        <w:keepNext w:val="0"/>
        <w:keepLines w:val="0"/>
        <w:shd w:val="clear" w:color="auto" w:fill="auto"/>
        <w:bidi w:val="0"/>
        <w:jc w:val="center"/>
        <w:spacing w:before="0" w:after="0" w:line="230" w:lineRule="exact"/>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0"/>
        <w:widowControl w:val="0"/>
        <w:keepNext w:val="0"/>
        <w:keepLines w:val="0"/>
        <w:shd w:val="clear" w:color="auto" w:fill="auto"/>
        <w:bidi w:val="0"/>
        <w:spacing w:before="0" w:after="174"/>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c-mail: </w:t>
      </w:r>
      <w:r>
        <w:fldChar w:fldCharType="begin"/>
      </w:r>
      <w:r>
        <w:rPr>
          <w:color w:val="000000"/>
        </w:rPr>
        <w:instrText> HYPERLINK "mailto:to67@fas.gov.ni" </w:instrText>
      </w:r>
      <w:r>
        <w:fldChar w:fldCharType="separate"/>
      </w:r>
      <w:r>
        <w:rPr>
          <w:rStyle w:val="Hyperlink"/>
          <w:lang w:val="en-US" w:eastAsia="en-US" w:bidi="en-US"/>
          <w:w w:val="100"/>
          <w:spacing w:val="0"/>
          <w:position w:val="0"/>
        </w:rPr>
        <w:t>to67@fas.gov.ni</w:t>
      </w:r>
      <w:r>
        <w:fldChar w:fldCharType="end"/>
      </w:r>
    </w:p>
    <w:p>
      <w:pPr>
        <w:pStyle w:val="Style12"/>
        <w:widowControl w:val="0"/>
        <w:keepNext w:val="0"/>
        <w:keepLines w:val="0"/>
        <w:shd w:val="clear" w:color="auto" w:fill="auto"/>
        <w:bidi w:val="0"/>
        <w:jc w:val="left"/>
        <w:spacing w:before="0" w:after="211" w:line="180" w:lineRule="exact"/>
        <w:ind w:left="2400" w:right="0" w:firstLine="0"/>
      </w:pPr>
      <w:r>
        <w:rPr>
          <w:lang w:val="ru-RU" w:eastAsia="ru-RU" w:bidi="ru-RU"/>
          <w:w w:val="100"/>
          <w:spacing w:val="0"/>
          <w:color w:val="000000"/>
          <w:position w:val="0"/>
        </w:rPr>
        <w:t>№</w:t>
      </w:r>
    </w:p>
    <w:p>
      <w:pPr>
        <w:pStyle w:val="Style7"/>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Заявителю</w:t>
      </w:r>
    </w:p>
    <w:p>
      <w:pPr>
        <w:pStyle w:val="Style5"/>
        <w:widowControl w:val="0"/>
        <w:keepNext w:val="0"/>
        <w:keepLines w:val="0"/>
        <w:shd w:val="clear" w:color="auto" w:fill="auto"/>
        <w:bidi w:val="0"/>
        <w:jc w:val="left"/>
        <w:spacing w:before="0" w:after="0" w:line="235" w:lineRule="exact"/>
        <w:ind w:left="20" w:right="0" w:firstLine="0"/>
      </w:pPr>
      <w:r>
        <w:rPr>
          <w:lang w:val="ru-RU" w:eastAsia="ru-RU" w:bidi="ru-RU"/>
          <w:sz w:val="24"/>
          <w:szCs w:val="24"/>
          <w:w w:val="100"/>
          <w:spacing w:val="0"/>
          <w:color w:val="000000"/>
          <w:position w:val="0"/>
        </w:rPr>
        <w:t>ООО «Центр поставок Профит»</w:t>
      </w:r>
    </w:p>
    <w:p>
      <w:pPr>
        <w:pStyle w:val="Style7"/>
        <w:widowControl w:val="0"/>
        <w:keepNext w:val="0"/>
        <w:keepLines w:val="0"/>
        <w:shd w:val="clear" w:color="auto" w:fill="auto"/>
        <w:bidi w:val="0"/>
        <w:jc w:val="left"/>
        <w:spacing w:before="0" w:after="596"/>
        <w:ind w:left="20" w:right="0" w:firstLine="0"/>
      </w:pPr>
      <w:r>
        <w:rPr>
          <w:lang w:val="ru-RU" w:eastAsia="ru-RU" w:bidi="ru-RU"/>
          <w:w w:val="100"/>
          <w:spacing w:val="0"/>
          <w:color w:val="000000"/>
          <w:position w:val="0"/>
        </w:rPr>
        <w:t>ул. Навагинская, д. 9Д, оф. 420, г. Сочи, 354000</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Электронной площадке -</w:t>
      </w:r>
    </w:p>
    <w:p>
      <w:pPr>
        <w:pStyle w:val="Style5"/>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АО «ЕЭТП»</w:t>
      </w:r>
    </w:p>
    <w:p>
      <w:pPr>
        <w:pStyle w:val="Style7"/>
        <w:widowControl w:val="0"/>
        <w:keepNext w:val="0"/>
        <w:keepLines w:val="0"/>
        <w:shd w:val="clear" w:color="auto" w:fill="auto"/>
        <w:bidi w:val="0"/>
        <w:jc w:val="left"/>
        <w:spacing w:before="0" w:after="0" w:line="180" w:lineRule="exact"/>
        <w:ind w:left="20" w:right="0" w:firstLine="0"/>
        <w:sectPr>
          <w:type w:val="continuous"/>
          <w:pgSz w:w="11906" w:h="16838"/>
          <w:pgMar w:top="623" w:left="1206" w:right="2536" w:bottom="11250" w:header="0" w:footer="3" w:gutter="0"/>
          <w:rtlGutter w:val="0"/>
          <w:cols w:num="2" w:space="949"/>
          <w:noEndnote/>
          <w:docGrid w:linePitch="360"/>
        </w:sectPr>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5"/>
        <w:framePr w:w="9954" w:h="2014" w:wrap="none" w:vAnchor="text" w:hAnchor="margin" w:x="33" w:y="3"/>
        <w:widowControl w:val="0"/>
        <w:keepNext w:val="0"/>
        <w:keepLines w:val="0"/>
        <w:shd w:val="clear" w:color="auto" w:fill="auto"/>
        <w:bidi w:val="0"/>
        <w:jc w:val="center"/>
        <w:spacing w:before="0" w:after="260" w:line="302" w:lineRule="exact"/>
        <w:ind w:left="0" w:right="220" w:firstLine="0"/>
      </w:pPr>
      <w:r>
        <w:rPr>
          <w:rStyle w:val="CharStyle14"/>
          <w:spacing w:val="0"/>
        </w:rPr>
        <w:t>РЕШЕНИЕ по делу №258/17-ЕЗ/Ж о нарушении законодательства Российской Федерации о контрактной системе</w:t>
      </w:r>
    </w:p>
    <w:p>
      <w:pPr>
        <w:pStyle w:val="Style5"/>
        <w:framePr w:w="9954" w:h="2014" w:wrap="none" w:vAnchor="text" w:hAnchor="margin" w:x="33" w:y="3"/>
        <w:tabs>
          <w:tab w:leader="none" w:pos="8668" w:val="right"/>
          <w:tab w:leader="none" w:pos="9839" w:val="right"/>
        </w:tabs>
        <w:widowControl w:val="0"/>
        <w:keepNext w:val="0"/>
        <w:keepLines w:val="0"/>
        <w:shd w:val="clear" w:color="auto" w:fill="auto"/>
        <w:bidi w:val="0"/>
        <w:jc w:val="both"/>
        <w:spacing w:before="0" w:after="0" w:line="427" w:lineRule="exact"/>
        <w:ind w:left="100" w:right="0" w:firstLine="0"/>
      </w:pPr>
      <w:r>
        <w:rPr>
          <w:rStyle w:val="CharStyle14"/>
          <w:spacing w:val="0"/>
        </w:rPr>
        <w:t>31 октября 2017 года</w:t>
        <w:tab/>
        <w:t>г.</w:t>
        <w:tab/>
        <w:t>Смоленск</w:t>
      </w:r>
    </w:p>
    <w:p>
      <w:pPr>
        <w:pStyle w:val="Style5"/>
        <w:framePr w:w="9954" w:h="2014" w:wrap="none" w:vAnchor="text" w:hAnchor="margin" w:x="33" w:y="3"/>
        <w:widowControl w:val="0"/>
        <w:keepNext w:val="0"/>
        <w:keepLines w:val="0"/>
        <w:shd w:val="clear" w:color="auto" w:fill="auto"/>
        <w:bidi w:val="0"/>
        <w:jc w:val="both"/>
        <w:spacing w:before="0" w:after="0" w:line="427" w:lineRule="exact"/>
        <w:ind w:left="100" w:right="0" w:firstLine="0"/>
      </w:pPr>
      <w:r>
        <w:rPr>
          <w:rStyle w:val="CharStyle14"/>
          <w:spacing w:val="0"/>
        </w:rPr>
        <w:t>Комиссия Смоленского У ФАС России по контролю в сфере закупок, в составе:</w:t>
      </w:r>
    </w:p>
    <w:p>
      <w:pPr>
        <w:pStyle w:val="Style5"/>
        <w:framePr w:w="10371" w:h="6340" w:wrap="none" w:vAnchor="text" w:hAnchor="margin" w:x="-29" w:y="2409"/>
        <w:widowControl w:val="0"/>
        <w:keepNext w:val="0"/>
        <w:keepLines w:val="0"/>
        <w:shd w:val="clear" w:color="auto" w:fill="auto"/>
        <w:bidi w:val="0"/>
        <w:jc w:val="left"/>
        <w:spacing w:before="0" w:after="60" w:line="302" w:lineRule="exact"/>
        <w:ind w:left="6160" w:right="200" w:firstLine="0"/>
      </w:pPr>
      <w:r>
        <w:rPr>
          <w:rStyle w:val="CharStyle14"/>
          <w:spacing w:val="0"/>
        </w:rPr>
        <w:t>- руководитель Смоленского У ФАС России;</w:t>
      </w:r>
    </w:p>
    <w:p>
      <w:pPr>
        <w:pStyle w:val="Style5"/>
        <w:framePr w:w="10371" w:h="6340" w:wrap="none" w:vAnchor="text" w:hAnchor="margin" w:x="-29" w:y="2409"/>
        <w:widowControl w:val="0"/>
        <w:keepNext w:val="0"/>
        <w:keepLines w:val="0"/>
        <w:shd w:val="clear" w:color="auto" w:fill="auto"/>
        <w:bidi w:val="0"/>
        <w:jc w:val="both"/>
        <w:spacing w:before="0" w:after="0" w:line="302" w:lineRule="exact"/>
        <w:ind w:left="6160" w:right="200" w:firstLine="400"/>
      </w:pPr>
      <w:r>
        <w:rPr>
          <w:rStyle w:val="CharStyle14"/>
          <w:spacing w:val="0"/>
        </w:rPr>
        <w:t>начальник отдела контроля закупок и антимонопольного контроля органов власти Смоленского У ФАС России;</w:t>
      </w:r>
    </w:p>
    <w:p>
      <w:pPr>
        <w:pStyle w:val="Style5"/>
        <w:framePr w:w="10371" w:h="6340" w:wrap="none" w:vAnchor="text" w:hAnchor="margin" w:x="-29" w:y="2409"/>
        <w:tabs>
          <w:tab w:leader="none" w:pos="7883" w:val="center"/>
          <w:tab w:leader="none" w:pos="8560" w:val="left"/>
          <w:tab w:leader="none" w:pos="10005" w:val="right"/>
        </w:tabs>
        <w:widowControl w:val="0"/>
        <w:keepNext w:val="0"/>
        <w:keepLines w:val="0"/>
        <w:shd w:val="clear" w:color="auto" w:fill="auto"/>
        <w:bidi w:val="0"/>
        <w:jc w:val="left"/>
        <w:spacing w:before="0" w:after="0" w:line="298" w:lineRule="exact"/>
        <w:ind w:left="6160" w:right="360" w:firstLine="400"/>
      </w:pPr>
      <w:r>
        <w:rPr>
          <w:rStyle w:val="CharStyle14"/>
          <w:spacing w:val="0"/>
        </w:rPr>
        <w:t>ведущий специалист-эксперт отдела</w:t>
        <w:tab/>
        <w:t>контроля</w:t>
        <w:tab/>
        <w:t>закупок</w:t>
        <w:tab/>
        <w:t>и</w:t>
      </w:r>
    </w:p>
    <w:p>
      <w:pPr>
        <w:pStyle w:val="Style5"/>
        <w:framePr w:w="10371" w:h="6340" w:wrap="none" w:vAnchor="text" w:hAnchor="margin" w:x="-29" w:y="2409"/>
        <w:tabs>
          <w:tab w:leader="none" w:pos="7883" w:val="center"/>
          <w:tab w:leader="none" w:pos="8560" w:val="left"/>
        </w:tabs>
        <w:widowControl w:val="0"/>
        <w:keepNext w:val="0"/>
        <w:keepLines w:val="0"/>
        <w:shd w:val="clear" w:color="auto" w:fill="auto"/>
        <w:bidi w:val="0"/>
        <w:jc w:val="left"/>
        <w:spacing w:before="0" w:after="0" w:line="298" w:lineRule="exact"/>
        <w:ind w:left="6160" w:right="200" w:firstLine="0"/>
      </w:pPr>
      <w:r>
        <w:rPr>
          <w:rStyle w:val="CharStyle14"/>
          <w:spacing w:val="0"/>
        </w:rPr>
        <w:t>антимонопольного контроля органов</w:t>
        <w:tab/>
        <w:t>власти</w:t>
        <w:tab/>
        <w:t>Смоленского</w:t>
      </w:r>
    </w:p>
    <w:p>
      <w:pPr>
        <w:pStyle w:val="Style5"/>
        <w:framePr w:w="10371" w:h="6340" w:wrap="none" w:vAnchor="text" w:hAnchor="margin" w:x="-29" w:y="2409"/>
        <w:widowControl w:val="0"/>
        <w:keepNext w:val="0"/>
        <w:keepLines w:val="0"/>
        <w:shd w:val="clear" w:color="auto" w:fill="auto"/>
        <w:bidi w:val="0"/>
        <w:jc w:val="left"/>
        <w:spacing w:before="0" w:after="0" w:line="298" w:lineRule="exact"/>
        <w:ind w:left="6160" w:right="0" w:firstLine="0"/>
      </w:pPr>
      <w:r>
        <w:rPr>
          <w:rStyle w:val="CharStyle14"/>
          <w:spacing w:val="0"/>
        </w:rPr>
        <w:t>У ФАС России;</w:t>
      </w:r>
    </w:p>
    <w:p>
      <w:pPr>
        <w:pStyle w:val="Style5"/>
        <w:framePr w:w="10371" w:h="6340" w:wrap="none" w:vAnchor="text" w:hAnchor="margin" w:x="-29" w:y="2409"/>
        <w:tabs>
          <w:tab w:leader="none" w:pos="7878" w:val="center"/>
          <w:tab w:leader="none" w:pos="8555" w:val="left"/>
          <w:tab w:leader="none" w:pos="10000" w:val="right"/>
        </w:tabs>
        <w:widowControl w:val="0"/>
        <w:keepNext w:val="0"/>
        <w:keepLines w:val="0"/>
        <w:shd w:val="clear" w:color="auto" w:fill="auto"/>
        <w:bidi w:val="0"/>
        <w:jc w:val="left"/>
        <w:spacing w:before="0" w:after="0" w:line="298" w:lineRule="exact"/>
        <w:ind w:left="6160" w:right="360" w:firstLine="400"/>
      </w:pPr>
      <w:r>
        <w:rPr>
          <w:rStyle w:val="CharStyle14"/>
          <w:spacing w:val="0"/>
        </w:rPr>
        <w:t>ведущий специалист-эксперт отдела</w:t>
        <w:tab/>
        <w:t>контроля</w:t>
        <w:tab/>
        <w:t>закупок</w:t>
        <w:tab/>
        <w:t>и</w:t>
      </w:r>
    </w:p>
    <w:p>
      <w:pPr>
        <w:pStyle w:val="Style5"/>
        <w:framePr w:w="10371" w:h="6340" w:wrap="none" w:vAnchor="text" w:hAnchor="margin" w:x="-29" w:y="2409"/>
        <w:tabs>
          <w:tab w:leader="none" w:pos="7883" w:val="center"/>
        </w:tabs>
        <w:widowControl w:val="0"/>
        <w:keepNext w:val="0"/>
        <w:keepLines w:val="0"/>
        <w:shd w:val="clear" w:color="auto" w:fill="auto"/>
        <w:bidi w:val="0"/>
        <w:jc w:val="left"/>
        <w:spacing w:before="0" w:after="0" w:line="298" w:lineRule="exact"/>
        <w:ind w:left="6160" w:right="200" w:firstLine="0"/>
      </w:pPr>
      <w:r>
        <w:rPr>
          <w:rStyle w:val="CharStyle14"/>
          <w:spacing w:val="0"/>
        </w:rPr>
        <w:t>антимонопольного органов</w:t>
        <w:tab/>
        <w:t>власти</w:t>
      </w:r>
    </w:p>
    <w:p>
      <w:pPr>
        <w:pStyle w:val="Style5"/>
        <w:framePr w:w="10371" w:h="6340" w:wrap="none" w:vAnchor="text" w:hAnchor="margin" w:x="-29" w:y="2409"/>
        <w:widowControl w:val="0"/>
        <w:keepNext w:val="0"/>
        <w:keepLines w:val="0"/>
        <w:shd w:val="clear" w:color="auto" w:fill="auto"/>
        <w:bidi w:val="0"/>
        <w:jc w:val="left"/>
        <w:spacing w:before="0" w:after="0" w:line="298" w:lineRule="exact"/>
        <w:ind w:left="6160" w:right="0" w:firstLine="0"/>
      </w:pPr>
      <w:r>
        <w:rPr>
          <w:rStyle w:val="CharStyle14"/>
          <w:spacing w:val="0"/>
        </w:rPr>
        <w:t>УФАС России;</w:t>
      </w:r>
    </w:p>
    <w:p>
      <w:pPr>
        <w:pStyle w:val="Style5"/>
        <w:framePr w:w="10371" w:h="6340" w:wrap="none" w:vAnchor="text" w:hAnchor="margin" w:x="-29" w:y="2409"/>
        <w:widowControl w:val="0"/>
        <w:keepNext w:val="0"/>
        <w:keepLines w:val="0"/>
        <w:shd w:val="clear" w:color="auto" w:fill="auto"/>
        <w:bidi w:val="0"/>
        <w:jc w:val="both"/>
        <w:spacing w:before="0" w:after="0" w:line="293" w:lineRule="exact"/>
        <w:ind w:left="100" w:right="0" w:firstLine="0"/>
      </w:pPr>
      <w:r>
        <w:rPr>
          <w:rStyle w:val="CharStyle14"/>
          <w:spacing w:val="0"/>
        </w:rPr>
        <w:t>при участии представителей:</w:t>
      </w:r>
    </w:p>
    <w:p>
      <w:pPr>
        <w:pStyle w:val="Style5"/>
        <w:framePr w:w="10371" w:h="6340" w:wrap="none" w:vAnchor="text" w:hAnchor="margin" w:x="-29" w:y="2409"/>
        <w:widowControl w:val="0"/>
        <w:keepNext w:val="0"/>
        <w:keepLines w:val="0"/>
        <w:shd w:val="clear" w:color="auto" w:fill="auto"/>
        <w:bidi w:val="0"/>
        <w:jc w:val="both"/>
        <w:spacing w:before="0" w:after="174" w:line="293" w:lineRule="exact"/>
        <w:ind w:left="100" w:right="200" w:firstLine="0"/>
      </w:pPr>
      <w:r>
        <w:rPr>
          <w:rStyle w:val="CharStyle14"/>
          <w:spacing w:val="0"/>
        </w:rPr>
        <w:t>от государственного заказчика: Полякова А.С. представителя по доверенности от 30.10.2017, Поляковой Ю.Б. представителя по доверенности от 30.10.2017,</w:t>
      </w:r>
    </w:p>
    <w:p>
      <w:pPr>
        <w:pStyle w:val="Style15"/>
        <w:framePr w:w="10371" w:h="6340" w:wrap="none" w:vAnchor="text" w:hAnchor="margin" w:x="-29" w:y="2409"/>
        <w:widowControl w:val="0"/>
        <w:keepNext w:val="0"/>
        <w:keepLines w:val="0"/>
        <w:shd w:val="clear" w:color="auto" w:fill="auto"/>
        <w:bidi w:val="0"/>
        <w:spacing w:before="0" w:after="0" w:line="300" w:lineRule="exact"/>
        <w:ind w:left="0" w:right="100" w:firstLine="0"/>
      </w:pPr>
      <w:r>
        <w:rPr>
          <w:lang w:val="ru-RU" w:eastAsia="ru-RU" w:bidi="ru-RU"/>
          <w:w w:val="100"/>
          <w:spacing w:val="30"/>
          <w:color w:val="000000"/>
          <w:position w:val="0"/>
        </w:rPr>
        <w:t>018895</w:t>
      </w:r>
      <w:r>
        <w:rPr>
          <w:rStyle w:val="CharStyle17"/>
          <w:b/>
          <w:bCs/>
        </w:rPr>
        <w:t xml:space="preserve"> ©</w:t>
      </w:r>
    </w:p>
    <w:p>
      <w:pPr>
        <w:pStyle w:val="Style5"/>
        <w:framePr w:w="5293" w:h="246" w:wrap="none" w:vAnchor="text" w:hAnchor="margin" w:x="81" w:y="2472"/>
        <w:tabs>
          <w:tab w:leader="none" w:pos="3436" w:val="right"/>
          <w:tab w:leader="none" w:pos="3998" w:val="right"/>
          <w:tab w:leader="none" w:pos="5188" w:val="right"/>
        </w:tabs>
        <w:widowControl w:val="0"/>
        <w:keepNext w:val="0"/>
        <w:keepLines w:val="0"/>
        <w:shd w:val="clear" w:color="auto" w:fill="auto"/>
        <w:bidi w:val="0"/>
        <w:jc w:val="both"/>
        <w:spacing w:before="0" w:after="0" w:line="230" w:lineRule="exact"/>
        <w:ind w:left="100" w:right="0" w:firstLine="0"/>
      </w:pPr>
      <w:r>
        <w:rPr>
          <w:rStyle w:val="CharStyle14"/>
          <w:spacing w:val="0"/>
        </w:rPr>
        <w:t>Председатель Комиссии:</w:t>
        <w:tab/>
        <w:t>-</w:t>
        <w:tab/>
        <w:t>Н.А.</w:t>
        <w:tab/>
        <w:t>Аюкитова</w:t>
      </w:r>
    </w:p>
    <w:p>
      <w:pPr>
        <w:pStyle w:val="Style5"/>
        <w:framePr w:w="1846" w:h="230" w:wrap="none" w:vAnchor="text" w:hAnchor="margin" w:x="3350" w:y="3177"/>
        <w:widowControl w:val="0"/>
        <w:keepNext w:val="0"/>
        <w:keepLines w:val="0"/>
        <w:shd w:val="clear" w:color="auto" w:fill="auto"/>
        <w:bidi w:val="0"/>
        <w:jc w:val="left"/>
        <w:spacing w:before="0" w:after="0" w:line="230" w:lineRule="exact"/>
        <w:ind w:left="100" w:right="0" w:firstLine="0"/>
      </w:pPr>
      <w:r>
        <w:rPr>
          <w:rStyle w:val="CharStyle14"/>
          <w:spacing w:val="0"/>
        </w:rPr>
        <w:t>- В.П. Епейкин</w:t>
      </w:r>
    </w:p>
    <w:p>
      <w:pPr>
        <w:pStyle w:val="Style5"/>
        <w:framePr w:w="2173" w:h="229" w:wrap="none" w:vAnchor="text" w:hAnchor="margin" w:x="71" w:y="3182"/>
        <w:widowControl w:val="0"/>
        <w:keepNext w:val="0"/>
        <w:keepLines w:val="0"/>
        <w:shd w:val="clear" w:color="auto" w:fill="auto"/>
        <w:bidi w:val="0"/>
        <w:jc w:val="left"/>
        <w:spacing w:before="0" w:after="0" w:line="230" w:lineRule="exact"/>
        <w:ind w:left="100" w:right="0" w:firstLine="0"/>
      </w:pPr>
      <w:r>
        <w:rPr>
          <w:rStyle w:val="CharStyle14"/>
          <w:spacing w:val="0"/>
        </w:rPr>
        <w:t>Члены Комиссии:</w:t>
      </w:r>
    </w:p>
    <w:p>
      <w:pPr>
        <w:pStyle w:val="Style5"/>
        <w:framePr w:w="1861" w:h="236" w:wrap="none" w:vAnchor="text" w:hAnchor="margin" w:x="3350" w:y="4382"/>
        <w:widowControl w:val="0"/>
        <w:keepNext w:val="0"/>
        <w:keepLines w:val="0"/>
        <w:shd w:val="clear" w:color="auto" w:fill="auto"/>
        <w:bidi w:val="0"/>
        <w:jc w:val="left"/>
        <w:spacing w:before="0" w:after="0" w:line="230" w:lineRule="exact"/>
        <w:ind w:left="100" w:right="0" w:firstLine="0"/>
      </w:pPr>
      <w:r>
        <w:rPr>
          <w:rStyle w:val="CharStyle14"/>
          <w:spacing w:val="0"/>
        </w:rPr>
        <w:t>- А.Е. Лукашев</w:t>
      </w:r>
    </w:p>
    <w:p>
      <w:pPr>
        <w:pStyle w:val="Style5"/>
        <w:framePr w:w="1765" w:h="229" w:wrap="none" w:vAnchor="text" w:hAnchor="margin" w:x="3494" w:y="5889"/>
        <w:widowControl w:val="0"/>
        <w:keepNext w:val="0"/>
        <w:keepLines w:val="0"/>
        <w:shd w:val="clear" w:color="auto" w:fill="auto"/>
        <w:bidi w:val="0"/>
        <w:jc w:val="left"/>
        <w:spacing w:before="0" w:after="0" w:line="230" w:lineRule="exact"/>
        <w:ind w:left="100" w:right="0" w:firstLine="0"/>
      </w:pPr>
      <w:r>
        <w:rPr>
          <w:rStyle w:val="CharStyle14"/>
          <w:spacing w:val="0"/>
        </w:rPr>
        <w:t>А.О. Казакова</w:t>
      </w:r>
    </w:p>
    <w:p>
      <w:pPr>
        <w:pStyle w:val="Style5"/>
        <w:framePr w:w="1645" w:h="537" w:wrap="none" w:vAnchor="text" w:hAnchor="margin" w:x="8428" w:y="6484"/>
        <w:widowControl w:val="0"/>
        <w:keepNext w:val="0"/>
        <w:keepLines w:val="0"/>
        <w:shd w:val="clear" w:color="auto" w:fill="auto"/>
        <w:bidi w:val="0"/>
        <w:jc w:val="right"/>
        <w:spacing w:before="0" w:after="12" w:line="230" w:lineRule="exact"/>
        <w:ind w:left="0" w:right="100" w:firstLine="0"/>
      </w:pPr>
      <w:r>
        <w:rPr>
          <w:rStyle w:val="CharStyle14"/>
          <w:spacing w:val="0"/>
        </w:rPr>
        <w:t>контроля</w:t>
      </w:r>
    </w:p>
    <w:p>
      <w:pPr>
        <w:pStyle w:val="Style5"/>
        <w:framePr w:w="1645" w:h="537" w:wrap="none" w:vAnchor="text" w:hAnchor="margin" w:x="8428" w:y="6484"/>
        <w:widowControl w:val="0"/>
        <w:keepNext w:val="0"/>
        <w:keepLines w:val="0"/>
        <w:shd w:val="clear" w:color="auto" w:fill="auto"/>
        <w:bidi w:val="0"/>
        <w:jc w:val="right"/>
        <w:spacing w:before="0" w:after="0" w:line="230" w:lineRule="exact"/>
        <w:ind w:left="0" w:right="100" w:firstLine="0"/>
      </w:pPr>
      <w:r>
        <w:rPr>
          <w:rStyle w:val="CharStyle14"/>
          <w:spacing w:val="0"/>
        </w:rPr>
        <w:t>Смоленского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4" w:lineRule="exact"/>
      </w:pPr>
    </w:p>
    <w:p>
      <w:pPr>
        <w:widowControl w:val="0"/>
        <w:rPr>
          <w:sz w:val="2"/>
          <w:szCs w:val="2"/>
        </w:rPr>
        <w:sectPr>
          <w:type w:val="continuous"/>
          <w:pgSz w:w="11906" w:h="16838"/>
          <w:pgMar w:top="426" w:left="793" w:right="793" w:bottom="426" w:header="0" w:footer="3" w:gutter="0"/>
          <w:rtlGutter w:val="0"/>
          <w:cols w:space="720"/>
          <w:noEndnote/>
          <w:docGrid w:linePitch="360"/>
        </w:sectPr>
      </w:pPr>
    </w:p>
    <w:p>
      <w:pPr>
        <w:pStyle w:val="Style5"/>
        <w:widowControl w:val="0"/>
        <w:keepNext w:val="0"/>
        <w:keepLines w:val="0"/>
        <w:shd w:val="clear" w:color="auto" w:fill="auto"/>
        <w:bidi w:val="0"/>
        <w:jc w:val="both"/>
        <w:spacing w:before="0" w:after="0" w:line="298" w:lineRule="exact"/>
        <w:ind w:left="160" w:right="0" w:firstLine="0"/>
      </w:pPr>
      <w:r>
        <w:rPr>
          <w:lang w:val="ru-RU" w:eastAsia="ru-RU" w:bidi="ru-RU"/>
          <w:sz w:val="24"/>
          <w:szCs w:val="24"/>
          <w:w w:val="100"/>
          <w:spacing w:val="0"/>
          <w:color w:val="000000"/>
          <w:position w:val="0"/>
        </w:rPr>
        <w:t>представители заявителя на заседание не явились, уведомлены надлежащим образом;</w:t>
      </w:r>
    </w:p>
    <w:p>
      <w:pPr>
        <w:pStyle w:val="Style5"/>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 ФАС России от</w:t>
      </w:r>
    </w:p>
    <w:p>
      <w:pPr>
        <w:pStyle w:val="Style5"/>
        <w:numPr>
          <w:ilvl w:val="0"/>
          <w:numId w:val="1"/>
        </w:numPr>
        <w:tabs>
          <w:tab w:leader="none" w:pos="1482" w:val="left"/>
        </w:tabs>
        <w:widowControl w:val="0"/>
        <w:keepNext w:val="0"/>
        <w:keepLines w:val="0"/>
        <w:shd w:val="clear" w:color="auto" w:fill="auto"/>
        <w:bidi w:val="0"/>
        <w:jc w:val="both"/>
        <w:spacing w:before="0" w:after="106" w:line="298" w:lineRule="exact"/>
        <w:ind w:left="160" w:right="20" w:firstLine="0"/>
      </w:pPr>
      <w:r>
        <w:rPr>
          <w:lang w:val="ru-RU" w:eastAsia="ru-RU" w:bidi="ru-RU"/>
          <w:sz w:val="24"/>
          <w:szCs w:val="24"/>
          <w:w w:val="100"/>
          <w:spacing w:val="0"/>
          <w:color w:val="000000"/>
          <w:position w:val="0"/>
        </w:rPr>
        <w:t>№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 ФАС России жалобу ООО «Центр поставок Профит» на положения документации об электронном аукционе на капитальный ремонт очистных сооружений КОС-400 (извещение № 0363100007417000088).</w:t>
      </w:r>
    </w:p>
    <w:p>
      <w:pPr>
        <w:pStyle w:val="Style5"/>
        <w:widowControl w:val="0"/>
        <w:keepNext w:val="0"/>
        <w:keepLines w:val="0"/>
        <w:shd w:val="clear" w:color="auto" w:fill="auto"/>
        <w:bidi w:val="0"/>
        <w:jc w:val="left"/>
        <w:spacing w:before="0" w:after="76" w:line="240" w:lineRule="exact"/>
        <w:ind w:left="462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Суть жалобы ООО «Центр поставок Профит» (далее - Заявитель, Общество) сводится к следующему:</w:t>
      </w:r>
    </w:p>
    <w:p>
      <w:pPr>
        <w:pStyle w:val="Style5"/>
        <w:numPr>
          <w:ilvl w:val="0"/>
          <w:numId w:val="3"/>
        </w:numPr>
        <w:tabs>
          <w:tab w:leader="none" w:pos="1482" w:val="left"/>
        </w:tabs>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В извещении о проведении электронного аукциона, документации об электронном аукционе не установлено дополнительных требований к участникам аукциона в соответствии с требованиями статьи 31 Закона о контрактной системе, постановления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высокотехнологического или специализированного характера способны поставить, выполнить, оказать только поставщики (подрядчики, исполнители), имеющий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5"/>
        <w:numPr>
          <w:ilvl w:val="0"/>
          <w:numId w:val="3"/>
        </w:numPr>
        <w:tabs>
          <w:tab w:leader="none" w:pos="1482" w:val="left"/>
        </w:tabs>
        <w:widowControl w:val="0"/>
        <w:keepNext w:val="0"/>
        <w:keepLines w:val="0"/>
        <w:shd w:val="clear" w:color="auto" w:fill="auto"/>
        <w:bidi w:val="0"/>
        <w:jc w:val="both"/>
        <w:spacing w:before="0" w:after="0" w:line="298" w:lineRule="exact"/>
        <w:ind w:left="160" w:right="0" w:firstLine="700"/>
      </w:pPr>
      <w:r>
        <w:rPr>
          <w:lang w:val="ru-RU" w:eastAsia="ru-RU" w:bidi="ru-RU"/>
          <w:sz w:val="24"/>
          <w:szCs w:val="24"/>
          <w:w w:val="100"/>
          <w:spacing w:val="0"/>
          <w:color w:val="000000"/>
          <w:position w:val="0"/>
        </w:rPr>
        <w:t>В документации об аукционе отсутствует описание объекта закупки в части</w:t>
      </w:r>
    </w:p>
    <w:p>
      <w:pPr>
        <w:pStyle w:val="Style5"/>
        <w:tabs>
          <w:tab w:leader="none" w:pos="1482" w:val="left"/>
        </w:tabs>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требования</w:t>
        <w:tab/>
        <w:t>к функциональным, техническим и качественным характеристикам товаров и</w:t>
      </w:r>
    </w:p>
    <w:p>
      <w:pPr>
        <w:pStyle w:val="Style5"/>
        <w:widowControl w:val="0"/>
        <w:keepNext w:val="0"/>
        <w:keepLines w:val="0"/>
        <w:shd w:val="clear" w:color="auto" w:fill="auto"/>
        <w:bidi w:val="0"/>
        <w:jc w:val="both"/>
        <w:spacing w:before="0" w:after="0" w:line="298" w:lineRule="exact"/>
        <w:ind w:left="0" w:right="20" w:firstLine="0"/>
      </w:pPr>
      <w:r>
        <w:rPr>
          <w:lang w:val="ru-RU" w:eastAsia="ru-RU" w:bidi="ru-RU"/>
          <w:sz w:val="24"/>
          <w:szCs w:val="24"/>
          <w:w w:val="100"/>
          <w:spacing w:val="0"/>
          <w:color w:val="000000"/>
          <w:position w:val="0"/>
        </w:rPr>
        <w:t>материалов, используемых при выполнении работ, заказчиком в сметных расчетах указаны требования к материалам с неизменными значениями, что исключает использование товаров и материалов эквивалентных или лучше по своим характеристикам;</w:t>
      </w:r>
    </w:p>
    <w:p>
      <w:pPr>
        <w:pStyle w:val="Style5"/>
        <w:numPr>
          <w:ilvl w:val="0"/>
          <w:numId w:val="3"/>
        </w:numPr>
        <w:tabs>
          <w:tab w:leader="none" w:pos="1482" w:val="left"/>
        </w:tabs>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Заказчиком нарушены ч. 4, 5, 8 ст. 34 Закона о контрактной системе, в проекте контракта Заказчик не указал все возможные значения размеров штрафов, предусмотренных законодательством Российской Федерации, для каждого порогового значения цены контракта.</w:t>
      </w:r>
    </w:p>
    <w:p>
      <w:pPr>
        <w:pStyle w:val="Style5"/>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В связи с изложенным Заявитель просит выдать предписание об устранении фвыявленных нарушений законодательства.</w:t>
      </w:r>
    </w:p>
    <w:p>
      <w:pPr>
        <w:pStyle w:val="Style5"/>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5"/>
        <w:widowControl w:val="0"/>
        <w:keepNext w:val="0"/>
        <w:keepLines w:val="0"/>
        <w:shd w:val="clear" w:color="auto" w:fill="auto"/>
        <w:bidi w:val="0"/>
        <w:jc w:val="both"/>
        <w:spacing w:before="0" w:after="0" w:line="298" w:lineRule="exact"/>
        <w:ind w:left="16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 ФАС России по контролю в сфере закупок установлено следующее.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Извещение о проведении электронного аукциона на капитальный ремонт очистных сооружений КОС-400, и аукционная документация размещены 09.10.2017 в единой информационной системе.</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- 11 320 703,00 руб.</w:t>
      </w:r>
    </w:p>
    <w:p>
      <w:pPr>
        <w:pStyle w:val="Style5"/>
        <w:numPr>
          <w:ilvl w:val="0"/>
          <w:numId w:val="5"/>
        </w:numPr>
        <w:tabs>
          <w:tab w:leader="none" w:pos="1076"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 1 ст. 63 Закона о контрактной системе извещение о проведении электронного аукциона размещается заказчиком в единой информационной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6 ч. 5 ст. 63 Закона о контрактной системе определено, что в извещении о проведении электронного аукциона наряду с прочей информацией,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 1ч. 1, ч. 2 и 2.1 (при наличии таких требований) ст. 31 настоящего Федерального закона, а также требование, предъявляемое к участникам такого аукциона в соответствии с ч. 1.1 (при наличии такого требования) ст. 31 настоящего Федерального закона.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3 ст. 64 Закона о контрактной системе документация об электронном аукционе содержит, в том числе, требования к участникам такого аукциона, установленные в соответствии с ч. 1, ч. 1.1, 2 и 2.1 (при наличии таких требований) ст. 31 настоящего Федерального закона.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7"/>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5"/>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7"/>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5"/>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 31 Закона о контрактной системе определено, что Перечень документов, которые подтверждают соответствие участников закупок дополнительным требованиям, указанным в ч. 2 и 2.1 настоящей статьи,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Перечень таких документов установлен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от 04.02.2015 № 99, Постановление № 99).</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 2 приложения № 1 к Постановлению Правительства РФ от 04.02.2015 № 99 дополнительным требованием к участникам закупки выполнения работ строительных, включенных в коды 41.2, 42, 43 (корме кода 43.13) Общероссийского классификатора продукции по видам экономической деятельности (ОКПД2) ОК 034- 2014, в случае, если начальная (максимальная) цена контракта (цена лота) превышает 10 млн. рублей, является наличие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примечанию &lt;*&gt; к п. 2 приложения № 1 к Постановлению Правительства РФ от 04.02.2015 № 99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работы по строительству, реконструкции и капитальному ремонту объектов капитального строительства;</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смысла приведенных положений Постановления № 99 во взаимосвязи с кодами 41.2, 42, 43 Общероссийского классификатора продукции по видам экономической деятельности (ОКПД2) ОК 034-2014, такое дополнительное требование предъявляется к субъектам хозяйственной деятельности в случае, если объектами закупки являются работы строительные, которые относятся к таким группам работ, как работы по возведению зданий, строительные работы в области гражданского строительства и работы строительные специализированные.</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соответствии с извещением о проведении электронного аукциона объектом закупки является капитальный ремонт очистных сооружений КОС-400, включенных в код 41.20.20.370 ОКПД2 «Сооружения жилищно-коммунального хозяйства, охраны окружающей среды и рационального природопользования».</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Начальная (максимальная) цена контракта установлена заказчиком в размере 11 320 703,00 рублей.</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Таким образом, принимая во внимание размер начальной (максимальной) цены контракта, а также вид строительных работ, включенных в код 41.20.20.370 ОКПД2, заказчик в извещении о проведении электронного аукциона и документации об электронном аукционе должен был установить требование о наличии у участника закупки опыта работы, связанного с предметом контракта, в соответствии с п. 3 ч. 2, ч. 5 ст. 31 Закона о контрактной системе.</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тоже время Комиссией установлено, что согласно приказу Федерального агентства по техническому регулированию и метрологии от 03.05.2017 № 347-ст «О принятии и введении в действие изменения 19/2017 ОКПД2 к общероссийскому классификатору продукции по видам экономической деятельности ОК 034-2014» код 41.20.20.370 ОКПД2 «Сооружения жилищно-коммунального хозяйства, охраны окружающей среды и рационального природопользования» исключен из указанного классификатора.</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Следовательно, положения Постановления № 99 в рассматриваемой закупке не подлежат применению.</w:t>
      </w:r>
    </w:p>
    <w:p>
      <w:pPr>
        <w:pStyle w:val="Style5"/>
        <w:numPr>
          <w:ilvl w:val="0"/>
          <w:numId w:val="5"/>
        </w:numPr>
        <w:tabs>
          <w:tab w:leader="none" w:pos="1062" w:val="left"/>
        </w:tabs>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Рассмотрев довод заявителя о том, что заказчик, не установив требований к функциональным, техническим и качественным характеристикам используемых при выполнении работ материалов нарушил ст.ЗЗ и ст.64 Закона о контрактной системе, Комиссия Смоленского У ФАС России считает его необоснованным, ввиду следующего.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ст. 13 Закона о контрактной системе, заказчиками осуществляются закупки для обеспечения федеральных нужд, нужд субъектов Российской Федерации и муниципальных нужд, в том числе:</w:t>
      </w:r>
    </w:p>
    <w:p>
      <w:pPr>
        <w:pStyle w:val="Style5"/>
        <w:numPr>
          <w:ilvl w:val="0"/>
          <w:numId w:val="9"/>
        </w:numPr>
        <w:tabs>
          <w:tab w:leader="none" w:pos="1114"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пунктами 1 и 2 настоящей статьи функций и полномочий.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п.1 ч.1 ст.64 Закона о контрактной системе, документация об электронном аукционе должна содержать, в том числе, наименование и описание объекта закупки и условия контракта в соответствии со ст.ЗЗ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заказчик самостоятельно определяет объект закупки в соответствии со ст.ЗЗ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п.1 ч.1 ст.ЗЗ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2 ст.ЗЗ Закона о контрактной системе установлено, что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тоже время, установление тех или иных требований к товарам и материалам, используемым при выполнении работ, является правом заказчика, которое он реализует при необходимости. Закон о контрактной системе не содержит норм, обязывающих заказчика устанавливать требования к функциональным, техническим и качественным характеристикам товаров и материалов, используемых при выполнении работ в соответствии с проектно-сметной документацией. В случае не установления соответствующих требований в аукционной документации, у участника закупки не возникает обязанности указания их в заявке.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Также, следует отметить, что в соответствии сч. 1 ст.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Как было установлено Комиссией Смоленского У ФАС России, требования к материалам, используемым при выполнении работ, содержатся в проектной документации, размещенной в составе аукционной документации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 локальных сметных расчетах. При этом законодательство о контрактной системе не содержит норм, обязывающих заказчика устанавливать в документации требования к функциональным, техническим и качественным характеристикам всех товаров, содержащихся в сметах. Смета использована в качестве обоснования цены контракта, а не в качестве требований к материалам и товарам, используемым при выполнении работ.</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разделу 3 «Техническое задание» аукционной документации в рамках исполнения контракта необходимо выполнить капитальный ремонт очистных сооружений КОС-400</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Техническим заданием предусмотрено, что работы, являющиеся предметом аукциона, выполняются в соответствии с утвержденной и согласованной сметной документацией, являющейся неотъемлемой частью технического задания.</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локальном сметном расчете № 2 на общестроительные работы ч. 2 Здание биофильтров указано, следующее:</w:t>
      </w:r>
    </w:p>
    <w:p>
      <w:pPr>
        <w:pStyle w:val="Style5"/>
        <w:numPr>
          <w:ilvl w:val="0"/>
          <w:numId w:val="1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Бетон тяжелый, крупность заполнителя 40 мм, класс В15 (М200),</w:t>
      </w:r>
    </w:p>
    <w:p>
      <w:pPr>
        <w:pStyle w:val="Style5"/>
        <w:numPr>
          <w:ilvl w:val="0"/>
          <w:numId w:val="1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Конструкции стальные индивидуальные решетчатые сварные массой до 0,1 т.</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Таким образом, аукционной документацией установлены показатели товара,</w:t>
      </w:r>
    </w:p>
    <w:p>
      <w:pPr>
        <w:pStyle w:val="Style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используемого при выполнении работ (Конструкции стальные индивидуальные решетчатые сварные массой до 0,1 т.) и показатели, которые не могут изменяться (Бетон тяжелый, крупность заполнителя 40 мм, класс В15 (М200).</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по мнению Комиссии Смоленского УФАС России, требования аукционной документации позволяют участникам закупки сформировать и подать свою заявку.</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Также следует отметить, что 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(п.1 ст.1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Основной задачей законодательства, устанавливающего порядок определения поставщика, является не столько обеспечение максимально широкого круга участников заку пок", сколько выявление в результате определения поставщика лица, исполнение контракта которым в наибольшей степени будет отвечать целям результативности, предотвращения злоупотреблений в сфере закупок. Включение в аукционную документацию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Установление характеристик товара обусловлено потребностями заказчика и является правом последнего. Закон о контрактной системе не предусматривает ограничений по включению в документацию об аукционе требований к товару, являющихся значимыми для заказчика.</w:t>
      </w:r>
    </w:p>
    <w:p>
      <w:pPr>
        <w:pStyle w:val="Style5"/>
        <w:numPr>
          <w:ilvl w:val="0"/>
          <w:numId w:val="5"/>
        </w:numPr>
        <w:tabs>
          <w:tab w:leader="none" w:pos="1043"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ч.4 ст.34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ч.5 ст.34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ч.8 ст.34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 3 указанных Правил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а) 10 процентов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 0,1 процента цены контракта (этапа) в случае, если цена контракта (этапа) превышает 10 млрд. рублей.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 4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 1 ч. 1 ст.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5"/>
        <w:tabs>
          <w:tab w:leader="none" w:pos="1062"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а)</w:t>
        <w:tab/>
        <w:t>3 процента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9.4 проекта контракта аукционной документации установлено,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соответствии с постановлением Правительства Российской Федерации от 30 августа 2017 г. № 1042, что составляет 5 000,00 рублей:</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а) 1000 рублей, если цена контракта не превышает 3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9.7.1 проекта контракта аукционной документации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Правил, Утвержденных Постановлением Правительства Российской Федерации от</w:t>
      </w:r>
    </w:p>
    <w:p>
      <w:pPr>
        <w:pStyle w:val="Style5"/>
        <w:numPr>
          <w:ilvl w:val="0"/>
          <w:numId w:val="13"/>
        </w:numPr>
        <w:tabs>
          <w:tab w:leader="underscore" w:pos="10076" w:val="left"/>
          <w:tab w:leader="none" w:pos="1326"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1042), равен 5,00% цены Контракта (этапа), что составляет </w:t>
        <w:tab/>
      </w:r>
    </w:p>
    <w:p>
      <w:pPr>
        <w:pStyle w:val="Style5"/>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 10 процентов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9.7.2 проекта контракта аукционной документации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1,00% начальной (максимальной) цены Контракта, что составляет 113 207,03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 3 процента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9.7.3 проекта контракта аукционной документации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5,00% начальной (максимальной) цены Контракта, что составляет 566 035,15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 9.7.4 проекта контракта аукционной документации установлено, что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что составляет 5 000,00 рублей :</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а) 1000 рублей, если цена контракта не превышает 3 млн. рублей;</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98" w:lineRule="exact"/>
        <w:ind w:left="20" w:right="20" w:firstLine="380"/>
      </w:pPr>
      <w:r>
        <w:rPr>
          <w:lang w:val="ru-RU" w:eastAsia="ru-RU" w:bidi="ru-RU"/>
          <w:sz w:val="24"/>
          <w:szCs w:val="24"/>
          <w:w w:val="100"/>
          <w:spacing w:val="0"/>
          <w:color w:val="000000"/>
          <w:position w:val="0"/>
        </w:rPr>
        <w:t>- Таким образом, Комиссия Смоленского У ФАС приходит к выводу, что заказчиком в проекте контракта установлены все возможные значения штрафов и пеней. Довод заявителя несостоятелен.</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Входе внеплановой проверки установлено следующее: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 2 ст. 34 Закона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Проект контракта документации об электронном аукционе условия о том, что цена контракта является твердой и определяется на весь срок исполнения контракта, не содержит. При этом электронный аукцион не относится к случаям, установленным Правительством Российской Федерации, при которых в контракте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ч. 10 ст. 70 Закона о контрактной системе контракт по результатам электронного аукциона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положения Закона о контрактной системе не предусматривают включение в контракт иных условий, за исключением цены, предложенной участником аукциона, с которым заключается данный контракт и информации о товаре, указанном в заявке данного участника. При таких обстоятельствах, отсутствие в проекте контракта документации об электронном аукционе условия о твердой цене контракта, которая определяется на весь срок исполнения контракта, препятствует заключению контракта в соответствии с требованиями Закона о контрактной системе и свидетельствует о нарушении ч. 2 ст. 34 Закона-о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Комиссией установлено, что на участие в электронном аукционе не подано ни одной заявки. В соответствии с ч. 16 ст. 66 Закона о контрактной системе аукцион признан несостоявшимся.</w:t>
      </w:r>
      <w:r>
        <w:br w:type="page"/>
      </w:r>
    </w:p>
    <w:p>
      <w:pPr>
        <w:pStyle w:val="Style5"/>
        <w:widowControl w:val="0"/>
        <w:keepNext w:val="0"/>
        <w:keepLines w:val="0"/>
        <w:shd w:val="clear" w:color="auto" w:fill="auto"/>
        <w:bidi w:val="0"/>
        <w:jc w:val="both"/>
        <w:spacing w:before="0" w:after="226" w:line="298" w:lineRule="exact"/>
        <w:ind w:left="20" w:right="0" w:firstLine="72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 ФАС России по контролю в сфере закупок</w:t>
      </w:r>
    </w:p>
    <w:p>
      <w:pPr>
        <w:pStyle w:val="Style5"/>
        <w:widowControl w:val="0"/>
        <w:keepNext w:val="0"/>
        <w:keepLines w:val="0"/>
        <w:shd w:val="clear" w:color="auto" w:fill="auto"/>
        <w:bidi w:val="0"/>
        <w:jc w:val="center"/>
        <w:spacing w:before="0" w:after="72" w:line="240" w:lineRule="exact"/>
        <w:ind w:left="0" w:right="0" w:firstLine="0"/>
      </w:pPr>
      <w:r>
        <w:rPr>
          <w:lang w:val="ru-RU" w:eastAsia="ru-RU" w:bidi="ru-RU"/>
          <w:sz w:val="24"/>
          <w:szCs w:val="24"/>
          <w:w w:val="100"/>
          <w:spacing w:val="0"/>
          <w:color w:val="000000"/>
          <w:position w:val="0"/>
        </w:rPr>
        <w:t>РЕШИЛА:</w:t>
      </w:r>
    </w:p>
    <w:p>
      <w:pPr>
        <w:pStyle w:val="Style5"/>
        <w:numPr>
          <w:ilvl w:val="0"/>
          <w:numId w:val="15"/>
        </w:numPr>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 Признать жалобу ООО «Центр поставок Профит» на положения документации об электронном аукционе на капитальный ремонт очистных сооружений КОС-400 (извещение № 0363100007417000088) необоснованной.</w:t>
      </w:r>
    </w:p>
    <w:p>
      <w:pPr>
        <w:pStyle w:val="Style5"/>
        <w:numPr>
          <w:ilvl w:val="0"/>
          <w:numId w:val="15"/>
        </w:numPr>
        <w:widowControl w:val="0"/>
        <w:keepNext w:val="0"/>
        <w:keepLines w:val="0"/>
        <w:shd w:val="clear" w:color="auto" w:fill="auto"/>
        <w:bidi w:val="0"/>
        <w:jc w:val="both"/>
        <w:spacing w:before="0" w:after="0" w:line="312" w:lineRule="exact"/>
        <w:ind w:left="20" w:right="0" w:firstLine="720"/>
      </w:pPr>
      <w:r>
        <w:rPr>
          <w:lang w:val="ru-RU" w:eastAsia="ru-RU" w:bidi="ru-RU"/>
          <w:sz w:val="24"/>
          <w:szCs w:val="24"/>
          <w:w w:val="100"/>
          <w:spacing w:val="0"/>
          <w:color w:val="000000"/>
          <w:position w:val="0"/>
        </w:rPr>
        <w:t xml:space="preserve"> Признать в действиях государственного заказчика нарушения ч. 2 ст. 34 Закона о контрактной системе.</w:t>
      </w:r>
    </w:p>
    <w:p>
      <w:pPr>
        <w:pStyle w:val="Style5"/>
        <w:numPr>
          <w:ilvl w:val="0"/>
          <w:numId w:val="15"/>
        </w:numPr>
        <w:widowControl w:val="0"/>
        <w:keepNext w:val="0"/>
        <w:keepLines w:val="0"/>
        <w:shd w:val="clear" w:color="auto" w:fill="auto"/>
        <w:bidi w:val="0"/>
        <w:jc w:val="both"/>
        <w:spacing w:before="0" w:after="360" w:line="302" w:lineRule="exact"/>
        <w:ind w:left="20" w:right="0" w:firstLine="720"/>
      </w:pPr>
      <w:r>
        <w:rPr>
          <w:lang w:val="ru-RU" w:eastAsia="ru-RU" w:bidi="ru-RU"/>
          <w:sz w:val="24"/>
          <w:szCs w:val="24"/>
          <w:w w:val="100"/>
          <w:spacing w:val="0"/>
          <w:color w:val="000000"/>
          <w:position w:val="0"/>
        </w:rPr>
        <w:t xml:space="preserve"> Предписание об устранении нарушений законодательства в сфере закупок не выдавать в связи с тем, что аукцион не состоялся.</w:t>
      </w:r>
    </w:p>
    <w:p>
      <w:pPr>
        <w:pStyle w:val="Style18"/>
        <w:widowControl w:val="0"/>
        <w:keepNext w:val="0"/>
        <w:keepLines w:val="0"/>
        <w:shd w:val="clear" w:color="auto" w:fill="auto"/>
        <w:bidi w:val="0"/>
        <w:spacing w:before="0" w:after="0"/>
        <w:ind w:left="20" w:right="0"/>
        <w:sectPr>
          <w:pgSz w:w="11906" w:h="16838"/>
          <w:pgMar w:top="1748" w:left="1359" w:right="303" w:bottom="630" w:header="0" w:footer="3" w:gutter="0"/>
          <w:rtlGutter w:val="0"/>
          <w:cols w:space="720"/>
          <w:noEndnote/>
          <w:docGrid w:linePitch="360"/>
        </w:sectPr>
      </w:pPr>
      <w:r>
        <w:rPr>
          <w:lang w:val="ru-RU" w:eastAsia="ru-RU" w:bidi="ru-RU"/>
          <w:sz w:val="24"/>
          <w:szCs w:val="24"/>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5"/>
        <w:framePr w:w="1909" w:h="2975" w:wrap="none" w:vAnchor="text" w:hAnchor="margin" w:x="8894" w:y="547"/>
        <w:widowControl w:val="0"/>
        <w:keepNext w:val="0"/>
        <w:keepLines w:val="0"/>
        <w:shd w:val="clear" w:color="auto" w:fill="auto"/>
        <w:bidi w:val="0"/>
        <w:jc w:val="left"/>
        <w:spacing w:before="0" w:after="663" w:line="230" w:lineRule="exact"/>
        <w:ind w:left="120" w:right="0" w:firstLine="0"/>
      </w:pPr>
      <w:r>
        <w:rPr>
          <w:rStyle w:val="CharStyle14"/>
          <w:spacing w:val="0"/>
        </w:rPr>
        <w:t>Н.А. Акжитова</w:t>
      </w:r>
    </w:p>
    <w:p>
      <w:pPr>
        <w:pStyle w:val="Style5"/>
        <w:framePr w:w="1909" w:h="2975" w:wrap="none" w:vAnchor="text" w:hAnchor="margin" w:x="8894" w:y="547"/>
        <w:widowControl w:val="0"/>
        <w:keepNext w:val="0"/>
        <w:keepLines w:val="0"/>
        <w:shd w:val="clear" w:color="auto" w:fill="auto"/>
        <w:bidi w:val="0"/>
        <w:jc w:val="left"/>
        <w:spacing w:before="0" w:after="663" w:line="230" w:lineRule="exact"/>
        <w:ind w:left="120" w:right="0" w:firstLine="0"/>
      </w:pPr>
      <w:r>
        <w:rPr>
          <w:rStyle w:val="CharStyle14"/>
          <w:spacing w:val="0"/>
        </w:rPr>
        <w:t>В.П. Епейкин</w:t>
      </w:r>
    </w:p>
    <w:p>
      <w:pPr>
        <w:pStyle w:val="Style5"/>
        <w:framePr w:w="1909" w:h="2975" w:wrap="none" w:vAnchor="text" w:hAnchor="margin" w:x="8894" w:y="547"/>
        <w:widowControl w:val="0"/>
        <w:keepNext w:val="0"/>
        <w:keepLines w:val="0"/>
        <w:shd w:val="clear" w:color="auto" w:fill="auto"/>
        <w:bidi w:val="0"/>
        <w:jc w:val="left"/>
        <w:spacing w:before="0" w:after="663" w:line="230" w:lineRule="exact"/>
        <w:ind w:left="120" w:right="0" w:firstLine="0"/>
      </w:pPr>
      <w:r>
        <w:rPr>
          <w:rStyle w:val="CharStyle14"/>
          <w:spacing w:val="0"/>
        </w:rPr>
        <w:t>А.Е. Лукашев</w:t>
      </w:r>
    </w:p>
    <w:p>
      <w:pPr>
        <w:pStyle w:val="Style5"/>
        <w:framePr w:w="1909" w:h="2975" w:wrap="none" w:vAnchor="text" w:hAnchor="margin" w:x="8894" w:y="547"/>
        <w:widowControl w:val="0"/>
        <w:keepNext w:val="0"/>
        <w:keepLines w:val="0"/>
        <w:shd w:val="clear" w:color="auto" w:fill="auto"/>
        <w:bidi w:val="0"/>
        <w:jc w:val="left"/>
        <w:spacing w:before="0" w:after="0" w:line="230" w:lineRule="exact"/>
        <w:ind w:left="120" w:right="0" w:firstLine="0"/>
      </w:pPr>
      <w:r>
        <w:rPr>
          <w:rStyle w:val="CharStyle14"/>
          <w:spacing w:val="0"/>
        </w:rPr>
        <w:t>А.О. Казакова</w:t>
      </w:r>
    </w:p>
    <w:p>
      <w:pPr>
        <w:pStyle w:val="Style5"/>
        <w:framePr w:w="2907" w:h="241" w:wrap="none" w:vAnchor="text" w:hAnchor="margin" w:x="964" w:y="552"/>
        <w:widowControl w:val="0"/>
        <w:keepNext w:val="0"/>
        <w:keepLines w:val="0"/>
        <w:shd w:val="clear" w:color="auto" w:fill="auto"/>
        <w:bidi w:val="0"/>
        <w:jc w:val="left"/>
        <w:spacing w:before="0" w:after="0" w:line="230" w:lineRule="exact"/>
        <w:ind w:left="100" w:right="0" w:firstLine="0"/>
      </w:pPr>
      <w:r>
        <w:rPr>
          <w:rStyle w:val="CharStyle14"/>
          <w:spacing w:val="0"/>
        </w:rPr>
        <w:t>Председатель Комиссии</w:t>
      </w:r>
    </w:p>
    <w:p>
      <w:pPr>
        <w:pStyle w:val="Style5"/>
        <w:framePr w:w="2115" w:h="229" w:wrap="none" w:vAnchor="text" w:hAnchor="margin" w:x="959" w:y="1161"/>
        <w:widowControl w:val="0"/>
        <w:keepNext w:val="0"/>
        <w:keepLines w:val="0"/>
        <w:shd w:val="clear" w:color="auto" w:fill="auto"/>
        <w:bidi w:val="0"/>
        <w:jc w:val="left"/>
        <w:spacing w:before="0" w:after="0" w:line="230" w:lineRule="exact"/>
        <w:ind w:left="100" w:right="0" w:firstLine="0"/>
      </w:pPr>
      <w:r>
        <w:rPr>
          <w:rStyle w:val="CharStyle14"/>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25" w:lineRule="exact"/>
      </w:pPr>
    </w:p>
    <w:p>
      <w:pPr>
        <w:widowControl w:val="0"/>
        <w:rPr>
          <w:sz w:val="2"/>
          <w:szCs w:val="2"/>
        </w:rPr>
      </w:pPr>
    </w:p>
    <w:sectPr>
      <w:type w:val="continuous"/>
      <w:pgSz w:w="11906" w:h="16838"/>
      <w:pgMar w:top="587" w:left="303" w:right="303" w:bottom="5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0.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4"/>
    </w:rPr>
  </w:style>
  <w:style w:type="character" w:customStyle="1" w:styleId="CharStyle11">
    <w:name w:val="Основной текст (4)_"/>
    <w:basedOn w:val="DefaultParagraphFont"/>
    <w:link w:val="Style10"/>
    <w:rPr>
      <w:b w:val="0"/>
      <w:bCs w:val="0"/>
      <w:i w:val="0"/>
      <w:iCs w:val="0"/>
      <w:u w:val="none"/>
      <w:strike w:val="0"/>
      <w:smallCaps w:val="0"/>
      <w:sz w:val="13"/>
      <w:szCs w:val="13"/>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18"/>
      <w:szCs w:val="18"/>
      <w:rFonts w:ascii="Arial" w:eastAsia="Arial" w:hAnsi="Arial" w:cs="Arial"/>
    </w:rPr>
  </w:style>
  <w:style w:type="character" w:customStyle="1" w:styleId="CharStyle1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16">
    <w:name w:val="Основной текст (6) Exact"/>
    <w:basedOn w:val="DefaultParagraphFont"/>
    <w:link w:val="Style15"/>
    <w:rPr>
      <w:b/>
      <w:bCs/>
      <w:i w:val="0"/>
      <w:iCs w:val="0"/>
      <w:u w:val="none"/>
      <w:strike w:val="0"/>
      <w:smallCaps w:val="0"/>
      <w:sz w:val="30"/>
      <w:szCs w:val="30"/>
      <w:rFonts w:ascii="Times New Roman" w:eastAsia="Times New Roman" w:hAnsi="Times New Roman" w:cs="Times New Roman"/>
      <w:spacing w:val="36"/>
    </w:rPr>
  </w:style>
  <w:style w:type="character" w:customStyle="1" w:styleId="CharStyle17">
    <w:name w:val="Основной текст (6) + Интервал 0 pt Exact"/>
    <w:basedOn w:val="CharStyle16"/>
    <w:rPr>
      <w:lang w:val="ru-RU" w:eastAsia="ru-RU" w:bidi="ru-RU"/>
      <w:w w:val="100"/>
      <w:spacing w:val="0"/>
      <w:color w:val="000000"/>
      <w:position w:val="0"/>
    </w:rPr>
  </w:style>
  <w:style w:type="character" w:customStyle="1" w:styleId="CharStyle19">
    <w:name w:val="Основной текст (7)_"/>
    <w:basedOn w:val="DefaultParagraphFont"/>
    <w:link w:val="Style18"/>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before="6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173"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180" w:after="300" w:line="0" w:lineRule="exact"/>
    </w:pPr>
    <w:rPr>
      <w:b w:val="0"/>
      <w:bCs w:val="0"/>
      <w:i w:val="0"/>
      <w:iCs w:val="0"/>
      <w:u w:val="none"/>
      <w:strike w:val="0"/>
      <w:smallCaps w:val="0"/>
      <w:sz w:val="18"/>
      <w:szCs w:val="18"/>
      <w:rFonts w:ascii="Arial" w:eastAsia="Arial" w:hAnsi="Arial" w:cs="Arial"/>
    </w:rPr>
  </w:style>
  <w:style w:type="paragraph" w:customStyle="1" w:styleId="Style15">
    <w:name w:val="Основной текст (6)"/>
    <w:basedOn w:val="Normal"/>
    <w:link w:val="CharStyle16"/>
    <w:pPr>
      <w:widowControl w:val="0"/>
      <w:shd w:val="clear" w:color="auto" w:fill="FFFFFF"/>
      <w:jc w:val="right"/>
      <w:spacing w:before="180" w:line="0" w:lineRule="exact"/>
    </w:pPr>
    <w:rPr>
      <w:b/>
      <w:bCs/>
      <w:i w:val="0"/>
      <w:iCs w:val="0"/>
      <w:u w:val="none"/>
      <w:strike w:val="0"/>
      <w:smallCaps w:val="0"/>
      <w:sz w:val="30"/>
      <w:szCs w:val="30"/>
      <w:rFonts w:ascii="Times New Roman" w:eastAsia="Times New Roman" w:hAnsi="Times New Roman" w:cs="Times New Roman"/>
      <w:spacing w:val="36"/>
    </w:rPr>
  </w:style>
  <w:style w:type="paragraph" w:customStyle="1" w:styleId="Style18">
    <w:name w:val="Основной текст (7)"/>
    <w:basedOn w:val="Normal"/>
    <w:link w:val="CharStyle19"/>
    <w:pPr>
      <w:widowControl w:val="0"/>
      <w:shd w:val="clear" w:color="auto" w:fill="FFFFFF"/>
      <w:jc w:val="both"/>
      <w:spacing w:before="360" w:line="302"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