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30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810" w:left="8432" w:right="445" w:bottom="100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«Торговый дом «Виал» (далее - Заявитель)</w:t>
      </w:r>
    </w:p>
    <w:p>
      <w:pPr>
        <w:widowControl w:val="0"/>
        <w:spacing w:before="4" w:after="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86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ФЕДЕРАЛЬНАЯ АНТИМОНОПОЛЬНАЯ СЛУЖБА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182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УПРАВЛЕНИЕ Федеральной антимонопольной службы по Ростовской области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42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пр. Ворошиловский, 2/2, офис 403 г. Ростов-на-Дону, 344006 тел. (863) 263-31-04, факс (863) 240-99-59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"mailto:to61@fas.gov.ru"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to61@fas.gov.ru</w:t>
      </w:r>
      <w:r>
        <w:fldChar w:fldCharType="end"/>
      </w:r>
    </w:p>
    <w:p>
      <w:pPr>
        <w:pStyle w:val="Style11"/>
        <w:tabs>
          <w:tab w:leader="none" w:pos="3838" w:val="right"/>
          <w:tab w:leader="none" w:pos="3838" w:val="right"/>
        </w:tabs>
        <w:widowControl w:val="0"/>
        <w:keepNext/>
        <w:keepLines/>
        <w:shd w:val="clear" w:color="auto" w:fill="auto"/>
        <w:bidi w:val="0"/>
        <w:spacing w:before="0" w:after="240" w:line="260" w:lineRule="exact"/>
        <w:ind w:left="660" w:right="0" w:firstLine="0"/>
      </w:pPr>
      <w:bookmarkStart w:id="0" w:name="bookmark0"/>
      <w:r>
        <w:rPr>
          <w:rStyle w:val="CharStyle13"/>
          <w:i/>
          <w:iCs/>
        </w:rPr>
        <w:t>02. Ц (},</w:t>
      </w:r>
      <w:r>
        <w:rPr>
          <w:rStyle w:val="CharStyle14"/>
          <w:i w:val="0"/>
          <w:iCs w:val="0"/>
        </w:rPr>
        <w:tab/>
        <w:t>№</w:t>
        <w:tab/>
      </w:r>
      <w:r>
        <w:rPr>
          <w:rStyle w:val="CharStyle13"/>
          <w:lang w:val="en-US" w:eastAsia="en-US" w:bidi="en-US"/>
          <w:i/>
          <w:iCs/>
        </w:rPr>
        <w:t>JOeozfob</w:t>
      </w:r>
      <w:bookmarkEnd w:id="0"/>
    </w:p>
    <w:p>
      <w:pPr>
        <w:pStyle w:val="Style3"/>
        <w:tabs>
          <w:tab w:leader="none" w:pos="252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90" w:lineRule="exact"/>
        <w:ind w:left="5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3"/>
        <w:tabs>
          <w:tab w:leader="none" w:pos="2810" w:val="right"/>
          <w:tab w:leader="none" w:pos="301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9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|</w:t>
        <w:tab/>
        <w:t>295050,</w:t>
        <w:tab/>
        <w:t>Республика Крым,</w:t>
      </w:r>
    </w:p>
    <w:p>
      <w:pPr>
        <w:pStyle w:val="Style3"/>
        <w:numPr>
          <w:ilvl w:val="0"/>
          <w:numId w:val="1"/>
        </w:numPr>
        <w:tabs>
          <w:tab w:leader="none" w:pos="93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Симферополь, ул. Лизы Чайкиной, 1</w:t>
      </w:r>
    </w:p>
    <w:p>
      <w:pPr>
        <w:pStyle w:val="Style3"/>
        <w:tabs>
          <w:tab w:leader="none" w:pos="465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88" w:line="259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,7</w:t>
        <w:tab/>
      </w:r>
      <w:r>
        <w:fldChar w:fldCharType="begin"/>
      </w:r>
      <w:r>
        <w:rPr>
          <w:color w:val="000000"/>
        </w:rPr>
        <w:instrText> HYPERLINK "mailto:torgdomvial@mail.ru"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torgdomvial@mail.ru</w:t>
      </w:r>
      <w:r>
        <w:fldChar w:fldCharType="end"/>
      </w:r>
    </w:p>
    <w:p>
      <w:pPr>
        <w:pStyle w:val="Style3"/>
        <w:numPr>
          <w:ilvl w:val="0"/>
          <w:numId w:val="1"/>
        </w:numPr>
        <w:tabs>
          <w:tab w:leader="none" w:pos="933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180"/>
        <w:ind w:left="7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 РО «Онкологический диспансер» (далее - Организатор совместных торгов)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28"/>
        <w:ind w:left="21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344006, г. Ростов-на-Дону, пр. Соколова, 9 </w:t>
      </w:r>
      <w:r>
        <w:fldChar w:fldCharType="begin"/>
      </w:r>
      <w:r>
        <w:rPr>
          <w:color w:val="000000"/>
        </w:rPr>
        <w:instrText> HYPERLINK "mailto:onkorostov@bk.ru"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onkorostov@bk.ru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9" w:line="19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190" w:lineRule="exact"/>
        <w:ind w:left="40" w:right="0" w:firstLine="0"/>
        <w:sectPr>
          <w:type w:val="continuous"/>
          <w:pgSz w:w="11906" w:h="16838"/>
          <w:pgMar w:top="810" w:left="1107" w:right="728" w:bottom="100" w:header="0" w:footer="3" w:gutter="0"/>
          <w:rtlGutter w:val="0"/>
          <w:cols w:num="2" w:space="667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 РО «Онкологический диспансер» г. Шахты</w:t>
      </w:r>
    </w:p>
    <w:p>
      <w:pPr>
        <w:widowControl w:val="0"/>
        <w:spacing w:line="51" w:lineRule="exact"/>
        <w:rPr>
          <w:sz w:val="4"/>
          <w:szCs w:val="4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88"/>
        <w:ind w:left="8660" w:right="1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346500, г. Шахты, ул. Шевченко, 153 </w:t>
      </w:r>
      <w:r>
        <w:fldChar w:fldCharType="begin"/>
      </w:r>
      <w:r>
        <w:rPr>
          <w:color w:val="000000"/>
        </w:rPr>
        <w:instrText> HYPERLINK "mailto:onkosha@mail.ru"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onkosha@mail.ru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33" w:line="190" w:lineRule="exact"/>
        <w:ind w:left="0" w:right="1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ЭТП: </w:t>
      </w:r>
      <w:r>
        <w:fldChar w:fldCharType="begin"/>
      </w:r>
      <w:r>
        <w:rPr>
          <w:color w:val="000000"/>
        </w:rPr>
        <w:instrText> HYPERLINK "mailto:ko@rts-tender.ru"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</w:t>
      </w:r>
      <w:r>
        <w:rPr>
          <w:rStyle w:val="Hyperlink"/>
          <w:b/>
          <w:bCs/>
        </w:rPr>
        <w:t>rts-tender.ru</w:t>
      </w:r>
      <w:r>
        <w:fldChar w:fldCharType="end"/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51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</w:t>
      </w:r>
    </w:p>
    <w:p>
      <w:pPr>
        <w:pStyle w:val="Style16"/>
        <w:tabs>
          <w:tab w:leader="none" w:pos="772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11" w:line="240" w:lineRule="exact"/>
        <w:ind w:left="40" w:right="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 ноября 2017 года</w:t>
        <w:tab/>
        <w:t>г. Ростов-на-Дону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Ростовской области (далее - Ростовское У ФАС России) по контролю в сфере размещения заказов в составе:</w:t>
      </w:r>
    </w:p>
    <w:p>
      <w:pPr>
        <w:pStyle w:val="Style16"/>
        <w:tabs>
          <w:tab w:leader="none" w:pos="536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  <w:tab/>
        <w:t>Кож^мяко Н.А.</w:t>
      </w:r>
    </w:p>
    <w:p>
      <w:pPr>
        <w:pStyle w:val="Style16"/>
        <w:tabs>
          <w:tab w:leader="none" w:pos="536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  <w:tab/>
        <w:t>Кикичева Я.В.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53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Вишненко А.К.,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327" w:line="274" w:lineRule="exact"/>
        <w:ind w:left="40" w:right="4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в присутствии представителя Организатора совместных торгов (далее - Организатор), отсутствие представителя Заявителя (надлежаще извещенного) дело № 2123/05 по жалобе Заявителя о нарушении Организатором норм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при проведении открытого аукциона в электронной форме № 0358200019717000142 на «Поставку лекарственных средств (Гемцитабин) (совместные торги)»,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201" w:line="240" w:lineRule="exact"/>
        <w:ind w:left="49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Жалоба ООО «Торговый дом «Виал» поступила в Ростовское УФАС России 25.10.2017г. (вх. № 16172). Согласно доводам жалобы, Организатор утвердил аукционную документацию с нарушением требований Закона о контрактной системе, что привело к необоснованному ограничению количества участников закупки, а именно - установил в техническом задании совокупность характеристик таким образом, что к поставке возможен товар только одного производителя, поставка эквивалента невозможна.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Представитель Организатора, присутствующий на рассмотрении дела, с доводами жалобы не согласилась, представила возражения.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Комиссия, по результатам рассмотрения жалобы и проведения в соответствии с ч. 15 ст. 99 Закона о контрактной системе внеплановой проверки, установила следующее.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Организатор 09.10.2017г. разместил на официальном сайте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ЕИС и электронной торговой площадке ООО «РТС-Тендер» извещение о проведении открытого аукциона в электронной форме № 0358200019717000142 (далее - аукцион). Предмет закупки - «Поставка лекарственных средств (Гемцитабин) (совместные торги)».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247" w:line="274" w:lineRule="exact"/>
        <w:ind w:left="40" w:right="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Начальная (максимальная) цена контракта установлена в размере 7 157 240 рублей.</w:t>
      </w:r>
    </w:p>
    <w:p>
      <w:pPr>
        <w:pStyle w:val="Style18"/>
        <w:widowControl w:val="0"/>
        <w:keepNext/>
        <w:keepLines/>
        <w:shd w:val="clear" w:color="auto" w:fill="auto"/>
        <w:bidi w:val="0"/>
        <w:spacing w:before="0" w:after="0" w:line="340" w:lineRule="exact"/>
        <w:ind w:left="0" w:right="40" w:firstLine="0"/>
      </w:pPr>
      <w:bookmarkStart w:id="1" w:name="bookmark1"/>
      <w:r>
        <w:rPr>
          <w:lang w:val="ru-RU" w:eastAsia="ru-RU" w:bidi="ru-RU"/>
          <w:w w:val="100"/>
          <w:color w:val="000000"/>
          <w:position w:val="0"/>
        </w:rPr>
        <w:t>007581</w:t>
      </w:r>
      <w:r>
        <w:rPr>
          <w:lang w:val="ru-RU" w:eastAsia="ru-RU" w:bidi="ru-RU"/>
          <w:vertAlign w:val="superscript"/>
          <w:w w:val="100"/>
          <w:color w:val="000000"/>
          <w:position w:val="0"/>
        </w:rPr>
        <w:t>1</w:t>
      </w:r>
      <w:bookmarkEnd w:id="1"/>
    </w:p>
    <w:p>
      <w:pPr>
        <w:pStyle w:val="Style20"/>
        <w:framePr w:w="11005" w:wrap="notBeside" w:vAnchor="text" w:hAnchor="text" w:xAlign="center" w:y="1"/>
        <w:tabs>
          <w:tab w:leader="underscore" w:pos="10847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1. Раздел № 2 аукционной документации «Наименование и описание объекта закупки» </w:t>
      </w:r>
      <w:r>
        <w:rPr>
          <w:rStyle w:val="CharStyle22"/>
        </w:rPr>
        <w:t>содержит требования к товару и его описание - технические характеристики: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  <w:tab/>
      </w:r>
    </w:p>
    <w:tbl>
      <w:tblPr>
        <w:tblOverlap w:val="never"/>
        <w:tblLayout w:type="fixed"/>
        <w:jc w:val="center"/>
      </w:tblPr>
      <w:tblGrid>
        <w:gridCol w:w="2855"/>
        <w:gridCol w:w="3586"/>
        <w:gridCol w:w="1836"/>
        <w:gridCol w:w="2729"/>
      </w:tblGrid>
      <w:tr>
        <w:trPr>
          <w:trHeight w:val="24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6"/>
              <w:framePr w:w="1100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23"/>
              </w:rPr>
              <w:t>мнн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6"/>
              <w:framePr w:w="1100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70" w:lineRule="exact"/>
              <w:ind w:left="0" w:right="0" w:firstLine="0"/>
            </w:pPr>
            <w:r>
              <w:rPr>
                <w:rStyle w:val="CharStyle24"/>
              </w:rPr>
              <w:t>форма выпуска, дозировка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6"/>
              <w:framePr w:w="1100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70" w:lineRule="exact"/>
              <w:ind w:left="0" w:right="0" w:firstLine="0"/>
            </w:pPr>
            <w:r>
              <w:rPr>
                <w:rStyle w:val="CharStyle24"/>
              </w:rPr>
              <w:t>ед. изм.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6"/>
              <w:framePr w:w="1100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70" w:lineRule="exact"/>
              <w:ind w:left="0" w:right="0" w:firstLine="0"/>
            </w:pPr>
            <w:r>
              <w:rPr>
                <w:rStyle w:val="CharStyle24"/>
              </w:rPr>
              <w:t>кол-во</w:t>
            </w:r>
          </w:p>
        </w:tc>
      </w:tr>
      <w:tr>
        <w:trPr>
          <w:trHeight w:val="450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6"/>
              <w:framePr w:w="1100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70" w:lineRule="exact"/>
              <w:ind w:left="0" w:right="0" w:firstLine="0"/>
            </w:pPr>
            <w:r>
              <w:rPr>
                <w:rStyle w:val="CharStyle24"/>
              </w:rPr>
              <w:t>Г емцитабин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6"/>
              <w:framePr w:w="1100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5" w:lineRule="exact"/>
              <w:ind w:left="0" w:right="0" w:firstLine="0"/>
            </w:pPr>
            <w:r>
              <w:rPr>
                <w:rStyle w:val="CharStyle24"/>
              </w:rPr>
              <w:t xml:space="preserve">лиофилизат для приготовления раствора для инфузий, </w:t>
            </w:r>
            <w:r>
              <w:rPr>
                <w:rStyle w:val="CharStyle23"/>
              </w:rPr>
              <w:t xml:space="preserve">1400 </w:t>
            </w:r>
            <w:r>
              <w:rPr>
                <w:rStyle w:val="CharStyle24"/>
              </w:rPr>
              <w:t xml:space="preserve">мг., флаконы </w:t>
            </w:r>
            <w:r>
              <w:rPr>
                <w:rStyle w:val="CharStyle23"/>
              </w:rPr>
              <w:t>(1)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6"/>
              <w:framePr w:w="1100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70" w:lineRule="exact"/>
              <w:ind w:left="0" w:right="0" w:firstLine="0"/>
            </w:pPr>
            <w:r>
              <w:rPr>
                <w:rStyle w:val="CharStyle24"/>
              </w:rPr>
              <w:t>штук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6"/>
              <w:framePr w:w="1100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23"/>
              </w:rPr>
              <w:t>1000</w:t>
            </w:r>
          </w:p>
        </w:tc>
      </w:tr>
    </w:tbl>
    <w:p>
      <w:pPr>
        <w:pStyle w:val="Style20"/>
        <w:framePr w:w="11005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доводам жалобы, Заказчиком установлены требования к форме выпуска и дозировке лекарственного препарата, соответствующий только одному производителю - «Фрезениус Каби Онколоджи Лимитед», Индия). Торговое наименование — «Гемита».</w:t>
      </w:r>
    </w:p>
    <w:p>
      <w:pPr>
        <w:widowControl w:val="0"/>
        <w:rPr>
          <w:sz w:val="2"/>
          <w:szCs w:val="2"/>
        </w:rPr>
      </w:pPr>
    </w:p>
    <w:p>
      <w:pPr>
        <w:pStyle w:val="Style16"/>
        <w:tabs>
          <w:tab w:leader="none" w:pos="6404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140" w:right="6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Пунктом 1 части 1 статьи 64 Закона о контрактной системе установлено, что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</w:t>
      </w:r>
      <w:r>
        <w:rPr>
          <w:rStyle w:val="CharStyle25"/>
        </w:rPr>
        <w:t>статьей 33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Закона о контрактной системе, в том числе обоснование начальной (максимальной) цены контракта.</w:t>
        <w:tab/>
        <w:t>»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40" w:right="6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части 1 статьи 33 Закона о контрактной системе, описание Заказчиком в документации объекта закупки должно носить объективный характер. В описание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 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40" w:right="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Представитель Заказчика пояснила следующее. </w:t>
      </w:r>
      <w:r>
        <w:rPr>
          <w:rStyle w:val="CharStyle26"/>
        </w:rPr>
        <w:t>I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40" w:right="6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определении требований к закупаемой продукции Заказчик учитывает соответствие своим потребностям на закупаемый товар. Заказчик вправе включить в документацию об аукционе такие требования к характеристикам, которые отвечают его потребностям и необходимы для выполнения соответствующих государственных или муниципальные нужд.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40" w:right="6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Документация разрабатывалась исходя из потребностей Заказчика, с учетом требований к функциональным характеристикам и потребительским свойствам.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40" w:right="6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Установление дозировки препарата 1400 мг. обусловлено тем, что рекомендованная доза для использования составляет 1 гр. на м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2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для введения. Средняя площадь взрослого человека составляет от 1,4 м“ до 2 м". Дозировка объемом 1400 мг. наиболее оптимальна и наиболее часто применяемая для пациентов.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40" w:right="6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Кроме того, одновременно с данным аукционом Заказчиком проводятся аналогичные аукционы с дозировкой 1000 мл. и 200 мл.</w:t>
      </w:r>
    </w:p>
    <w:p>
      <w:pPr>
        <w:pStyle w:val="Style16"/>
        <w:tabs>
          <w:tab w:leader="none" w:pos="610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40" w:right="6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Гемцитабин является сильным радиосенсибилизирующим средством, применяемым для борьбы с раком.</w:t>
        <w:tab/>
        <w:t>,V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40" w:right="6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Закупаемый препарат является дорогостоящим** лекарственным препаратом и требует оптимального его расходования, что кроме прочего приводит к эффективному расходованию бюджетных средств.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40" w:right="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Гемцитабин в дозировке 1400мг. закупается монолотом, не объединен с иными препаратами.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40" w:right="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Ростовского У ФАС России принимает довод Заказчика.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40" w:right="6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Постановлении Арбитражного суда Северо-Кавказского округа от 24.07.2015г. № Ф08- 5244/2015 по делу № А20-4177/2014 указано, что «Заказчик в аукционной документации установил требования к товару с учетом своих потребностей и исходя из специфики осуществляемого вида деятельности. Задачей законодательства о закупках является прежде всего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 и потребностям заказчика в товаре, необходимом для осуществления его деятельности. Заказчик, установив необходимые ему требования к товару, действовал в соответствии со статьей 33 Закона о контрактной системе. Определение в аукционной документации требований к расходным материалам, необходимым Заказчику, с учетом специфики его использования при лечении не может рассматриваться как ограничение доступа к участию в аукционе».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40" w:right="6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Постановлении Арбитражного суда Московского округа от 04.10.2016г. по делу № А40-8724/16 указано, что «в зависимости от своих потребностей заказчик в документации об аукционе должен установить требования, в частности, к качеству, техническим характеристикам (потребительским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spacing w:before="0" w:after="0"/>
        <w:ind w:left="0" w:right="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свойствам), размерам, упаковке товара с учетом специфики его деятельности и в целях обеспечения эффективного использования бюджетных средств, при соблюдении установленных законодательством Российской Федерации положений, направленных на обеспечение при проведении торгов конкурентной среды».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Исходя из изложенного выше, заказчик вправе включить в аукционную документацию такие характеристики и требования к товару, которые отвечают его потребностям и необходимы для выполнения соответствующих функций. При этом заказчик вправе в необходимой степени детализировать предмет закупок.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Также следует учесть, что согласно пункту 1 статьи 1 Закона о контрактной системе целями законодательства о закупках является повышение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Тем самым основной задачей законодательства, устанавливающего порядок закупок, является не столько обеспечение максимально широкого круга участников закупок, сколько выявление в результате закупок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закупок.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Исходя из названного положения пункта 1 статьи 1 Закона в закупках могут участвовать лишь те лица, которые имеют признаки, отвечающие названным целям, поэтому включение в документацию Заказчика условий, которые в итоге приводят к исключению из круга участников закупки лиц, не обладающих такими признаками, не может рассматриваться как ограничение доступа к участию в закупках.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Кроме того, согласно позиции изложенной ФАС Северо-Кавказского округа в Постановлении по делу № А53-27684/2011 соответствие предъявляемым заказчиком характеристикам только продукции одного производителя не лишает участникам размещения заказа возможности участвовать в аукционе, то есть не ограничивает число потенциальных участников аукциона, поскольку предметом аукциона является поставка, а не изготовление товаров.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Доказательств невозможности поставки описанного аукционной документацией товара Заявителем не представлено.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Кроме того, согласно протоколу проведения аукциона от 30.10.2017г. на торги вышли три участника.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доводы Заявителя об ограничении круга участников закупки не соответствует действительности, нарушения Закона о контрактной системе в действиях Заказчика отсутствует.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267" w:line="274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Постановления Правительства РФ от 26.08.2013г. № 728, в соответствии с ч. 15 ст. 99, ч. 8 ст. 106 Закона о контрактной системе, Комиссия Ростовского У ФАС России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226" w:line="240" w:lineRule="exact"/>
        <w:ind w:left="52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203" w:line="240" w:lineRule="exact"/>
        <w:ind w:left="20" w:right="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Признать жалобу ООО «Торговый дом «Виал» необоснованной.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270" w:line="277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может быть обжаловано в течение трех месяцев в Арбитражный суд Ростовской области со дня его принятия.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526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sectPr>
      <w:type w:val="continuous"/>
      <w:pgSz w:w="11906" w:h="16838"/>
      <w:pgMar w:top="901" w:left="459" w:right="434" w:bottom="48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&gt;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10"/>
    </w:rPr>
  </w:style>
  <w:style w:type="character" w:customStyle="1" w:styleId="CharStyle8">
    <w:name w:val="Основной текст (4)_"/>
    <w:basedOn w:val="DefaultParagraphFont"/>
    <w:link w:val="Style7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0"/>
    </w:rPr>
  </w:style>
  <w:style w:type="character" w:customStyle="1" w:styleId="CharStyle10">
    <w:name w:val="Основной текст (5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2">
    <w:name w:val="Заголовок №1_"/>
    <w:basedOn w:val="DefaultParagraphFont"/>
    <w:link w:val="Style11"/>
    <w:rPr>
      <w:b w:val="0"/>
      <w:bCs w:val="0"/>
      <w:i/>
      <w:iCs/>
      <w:u w:val="none"/>
      <w:strike w:val="0"/>
      <w:smallCaps w:val="0"/>
      <w:sz w:val="26"/>
      <w:szCs w:val="26"/>
      <w:rFonts w:ascii="Trebuchet MS" w:eastAsia="Trebuchet MS" w:hAnsi="Trebuchet MS" w:cs="Trebuchet MS"/>
      <w:spacing w:val="10"/>
    </w:rPr>
  </w:style>
  <w:style w:type="character" w:customStyle="1" w:styleId="CharStyle13">
    <w:name w:val="Заголовок №1"/>
    <w:basedOn w:val="CharStyle12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4">
    <w:name w:val="Заголовок №1 + Times New Roman,11,5 pt,Полужирный,Не курсив,Интервал 0 pt"/>
    <w:basedOn w:val="CharStyle12"/>
    <w:rPr>
      <w:lang w:val="ru-RU" w:eastAsia="ru-RU" w:bidi="ru-RU"/>
      <w:b/>
      <w:bCs/>
      <w:i/>
      <w:iCs/>
      <w:sz w:val="23"/>
      <w:szCs w:val="23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5">
    <w:name w:val="Основной текст (2)"/>
    <w:basedOn w:val="CharStyle4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7">
    <w:name w:val="Основной текст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9">
    <w:name w:val="Заголовок №2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-20"/>
    </w:rPr>
  </w:style>
  <w:style w:type="character" w:customStyle="1" w:styleId="CharStyle21">
    <w:name w:val="Подпись к таблице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2">
    <w:name w:val="Подпись к таблице"/>
    <w:basedOn w:val="CharStyle21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3">
    <w:name w:val="Основной текст + 9 pt"/>
    <w:basedOn w:val="CharStyle17"/>
    <w:rPr>
      <w:lang w:val="ru-RU" w:eastAsia="ru-RU" w:bidi="ru-RU"/>
      <w:sz w:val="18"/>
      <w:szCs w:val="18"/>
      <w:w w:val="100"/>
      <w:spacing w:val="0"/>
      <w:color w:val="000000"/>
      <w:position w:val="0"/>
    </w:rPr>
  </w:style>
  <w:style w:type="character" w:customStyle="1" w:styleId="CharStyle24">
    <w:name w:val="Основной текст + 8,5 pt"/>
    <w:basedOn w:val="CharStyle17"/>
    <w:rPr>
      <w:lang w:val="ru-RU" w:eastAsia="ru-RU" w:bidi="ru-RU"/>
      <w:sz w:val="17"/>
      <w:szCs w:val="17"/>
      <w:w w:val="100"/>
      <w:spacing w:val="0"/>
      <w:color w:val="000000"/>
      <w:position w:val="0"/>
    </w:rPr>
  </w:style>
  <w:style w:type="character" w:customStyle="1" w:styleId="CharStyle25">
    <w:name w:val="Основной текст"/>
    <w:basedOn w:val="CharStyle17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6">
    <w:name w:val="Основной текст + Franklin Gothic Medium,15 pt,Курсив"/>
    <w:basedOn w:val="CharStyle17"/>
    <w:rPr>
      <w:lang w:val="ru-RU" w:eastAsia="ru-RU" w:bidi="ru-RU"/>
      <w:i/>
      <w:iCs/>
      <w:sz w:val="30"/>
      <w:szCs w:val="30"/>
      <w:rFonts w:ascii="Franklin Gothic Medium" w:eastAsia="Franklin Gothic Medium" w:hAnsi="Franklin Gothic Medium" w:cs="Franklin Gothic Medium"/>
      <w:w w:val="100"/>
      <w:spacing w:val="0"/>
      <w:color w:val="000000"/>
      <w:position w:val="0"/>
    </w:rPr>
  </w:style>
  <w:style w:type="character" w:customStyle="1" w:styleId="CharStyle28">
    <w:name w:val="Основной текст (6)_"/>
    <w:basedOn w:val="DefaultParagraphFont"/>
    <w:link w:val="Style27"/>
    <w:rPr>
      <w:b w:val="0"/>
      <w:bCs w:val="0"/>
      <w:i w:val="0"/>
      <w:iCs w:val="0"/>
      <w:u w:val="none"/>
      <w:strike w:val="0"/>
      <w:smallCaps w:val="0"/>
      <w:sz w:val="21"/>
      <w:szCs w:val="21"/>
      <w:rFonts w:ascii="Trebuchet MS" w:eastAsia="Trebuchet MS" w:hAnsi="Trebuchet MS" w:cs="Trebuchet MS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right"/>
      <w:spacing w:line="250" w:lineRule="exact"/>
      <w:ind w:hanging="680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after="120" w:line="221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10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center"/>
      <w:spacing w:before="120" w:after="120" w:line="264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0"/>
    </w:rPr>
  </w:style>
  <w:style w:type="paragraph" w:customStyle="1" w:styleId="Style9">
    <w:name w:val="Основной текст (5)"/>
    <w:basedOn w:val="Normal"/>
    <w:link w:val="CharStyle10"/>
    <w:pPr>
      <w:widowControl w:val="0"/>
      <w:shd w:val="clear" w:color="auto" w:fill="FFFFFF"/>
      <w:jc w:val="center"/>
      <w:spacing w:before="120" w:after="300" w:line="187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1">
    <w:name w:val="Заголовок №1"/>
    <w:basedOn w:val="Normal"/>
    <w:link w:val="CharStyle12"/>
    <w:pPr>
      <w:widowControl w:val="0"/>
      <w:shd w:val="clear" w:color="auto" w:fill="FFFFFF"/>
      <w:jc w:val="both"/>
      <w:outlineLvl w:val="0"/>
      <w:spacing w:before="300" w:after="300" w:line="0" w:lineRule="exact"/>
    </w:pPr>
    <w:rPr>
      <w:b w:val="0"/>
      <w:bCs w:val="0"/>
      <w:i/>
      <w:iCs/>
      <w:u w:val="none"/>
      <w:strike w:val="0"/>
      <w:smallCaps w:val="0"/>
      <w:sz w:val="26"/>
      <w:szCs w:val="26"/>
      <w:rFonts w:ascii="Trebuchet MS" w:eastAsia="Trebuchet MS" w:hAnsi="Trebuchet MS" w:cs="Trebuchet MS"/>
      <w:spacing w:val="10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FFFFFF"/>
      <w:spacing w:before="300" w:after="6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8">
    <w:name w:val="Заголовок №2"/>
    <w:basedOn w:val="Normal"/>
    <w:link w:val="CharStyle19"/>
    <w:pPr>
      <w:widowControl w:val="0"/>
      <w:shd w:val="clear" w:color="auto" w:fill="FFFFFF"/>
      <w:jc w:val="right"/>
      <w:outlineLvl w:val="1"/>
      <w:spacing w:before="300" w:line="0" w:lineRule="exact"/>
    </w:pPr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-20"/>
    </w:rPr>
  </w:style>
  <w:style w:type="paragraph" w:customStyle="1" w:styleId="Style20">
    <w:name w:val="Подпись к таблице"/>
    <w:basedOn w:val="Normal"/>
    <w:link w:val="CharStyle21"/>
    <w:pPr>
      <w:widowControl w:val="0"/>
      <w:shd w:val="clear" w:color="auto" w:fill="FFFFFF"/>
      <w:spacing w:line="266" w:lineRule="exact"/>
      <w:ind w:firstLine="560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7">
    <w:name w:val="Основной текст (6)"/>
    <w:basedOn w:val="Normal"/>
    <w:link w:val="CharStyle28"/>
    <w:pPr>
      <w:widowControl w:val="0"/>
      <w:shd w:val="clear" w:color="auto" w:fill="FFFFFF"/>
      <w:jc w:val="right"/>
      <w:spacing w:line="274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rebuchet MS" w:eastAsia="Trebuchet MS" w:hAnsi="Trebuchet MS" w:cs="Trebuchet M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