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0" w:after="196"/>
        <w:ind w:left="0" w:right="0" w:firstLine="0"/>
      </w:pPr>
      <w:r>
        <w:rPr>
          <w:rStyle w:val="CharStyle5"/>
        </w:rPr>
        <w:t>ФЕДЕРАЛЬНАЯ АНТИМОНОПОЛЬНАЯ СЛУЖБА</w:t>
      </w:r>
    </w:p>
    <w:p>
      <w:pPr>
        <w:pStyle w:val="Style6"/>
        <w:widowControl w:val="0"/>
        <w:keepNext w:val="0"/>
        <w:keepLines w:val="0"/>
        <w:shd w:val="clear" w:color="auto" w:fill="auto"/>
        <w:bidi w:val="0"/>
        <w:spacing w:before="0" w:after="234"/>
        <w:ind w:left="0" w:right="0" w:firstLine="0"/>
      </w:pPr>
      <w:r>
        <w:rPr>
          <w:rStyle w:val="CharStyle8"/>
        </w:rPr>
        <w:t>УПРАВЛЕНИЕ Федеральной антимонопольной службы по Республике Татарстан</w:t>
      </w:r>
    </w:p>
    <w:p>
      <w:pPr>
        <w:pStyle w:val="Style9"/>
        <w:widowControl w:val="0"/>
        <w:keepNext w:val="0"/>
        <w:keepLines w:val="0"/>
        <w:shd w:val="clear" w:color="auto" w:fill="auto"/>
        <w:bidi w:val="0"/>
        <w:spacing w:before="0" w:after="270"/>
        <w:ind w:left="0" w:right="0" w:firstLine="0"/>
      </w:pPr>
      <w:r>
        <w:rPr>
          <w:rStyle w:val="CharStyle11"/>
        </w:rPr>
        <w:t xml:space="preserve">ул. </w:t>
      </w:r>
      <w:r>
        <w:rPr>
          <w:rStyle w:val="CharStyle12"/>
        </w:rPr>
        <w:t xml:space="preserve">Московская, </w:t>
      </w:r>
      <w:r>
        <w:rPr>
          <w:rStyle w:val="CharStyle11"/>
        </w:rPr>
        <w:t xml:space="preserve">д. 55. г. </w:t>
      </w:r>
      <w:r>
        <w:rPr>
          <w:rStyle w:val="CharStyle12"/>
        </w:rPr>
        <w:t xml:space="preserve">Казань. </w:t>
      </w:r>
      <w:r>
        <w:rPr>
          <w:rStyle w:val="CharStyle11"/>
        </w:rPr>
        <w:t xml:space="preserve">420021 </w:t>
      </w:r>
      <w:r>
        <w:rPr>
          <w:rStyle w:val="CharStyle12"/>
        </w:rPr>
        <w:t xml:space="preserve">тел.: (843) 236-89-22. факс (843) 238-19-46 </w:t>
      </w:r>
      <w:r>
        <w:rPr>
          <w:rStyle w:val="CharStyle12"/>
          <w:lang w:val="en-US" w:eastAsia="en-US" w:bidi="en-US"/>
        </w:rPr>
        <w:t>e-mail: tol6to fas.gov.ru</w:t>
      </w:r>
    </w:p>
    <w:p>
      <w:pPr>
        <w:pStyle w:val="Style13"/>
        <w:tabs>
          <w:tab w:leader="none" w:pos="1976" w:val="left"/>
        </w:tabs>
        <w:widowControl w:val="0"/>
        <w:keepNext/>
        <w:keepLines/>
        <w:shd w:val="clear" w:color="auto" w:fill="auto"/>
        <w:bidi w:val="0"/>
        <w:spacing w:before="0" w:after="407" w:line="300" w:lineRule="exact"/>
        <w:ind w:left="440" w:right="0" w:firstLine="0"/>
      </w:pPr>
      <w:bookmarkStart w:id="0" w:name="bookmark0"/>
      <w:r>
        <w:rPr>
          <w:rStyle w:val="CharStyle15"/>
          <w:i/>
          <w:iCs/>
        </w:rPr>
        <w:t xml:space="preserve">il </w:t>
      </w:r>
      <w:r>
        <w:rPr>
          <w:rStyle w:val="CharStyle16"/>
          <w:i/>
          <w:iCs/>
        </w:rPr>
        <w:t>Н АЯ1-</w:t>
      </w:r>
      <w:r>
        <w:rPr>
          <w:rStyle w:val="CharStyle17"/>
          <w:i w:val="0"/>
          <w:iCs w:val="0"/>
        </w:rPr>
        <w:tab/>
        <w:t xml:space="preserve">№ </w:t>
      </w:r>
      <w:r>
        <w:rPr>
          <w:rStyle w:val="CharStyle18"/>
          <w:i/>
          <w:iCs/>
        </w:rPr>
        <w:t>ОЧ-0ч/м</w:t>
      </w:r>
      <w:r>
        <w:rPr>
          <w:rStyle w:val="CharStyle19"/>
          <w:i/>
          <w:iCs/>
        </w:rPr>
        <w:t>ъМ</w:t>
      </w:r>
      <w:bookmarkEnd w:id="0"/>
    </w:p>
    <w:p>
      <w:pPr>
        <w:pStyle w:val="Style20"/>
        <w:tabs>
          <w:tab w:leader="none" w:pos="2283" w:val="right"/>
          <w:tab w:leader="underscore" w:pos="3502" w:val="left"/>
        </w:tabs>
        <w:widowControl w:val="0"/>
        <w:keepNext w:val="0"/>
        <w:keepLines w:val="0"/>
        <w:shd w:val="clear" w:color="auto" w:fill="auto"/>
        <w:bidi w:val="0"/>
        <w:spacing w:before="0" w:after="0" w:line="190" w:lineRule="exact"/>
        <w:ind w:left="440" w:right="0" w:firstLine="0"/>
      </w:pPr>
      <w:r>
        <w:rPr>
          <w:rStyle w:val="CharStyle22"/>
        </w:rPr>
        <w:t>На №</w:t>
        <w:tab/>
      </w:r>
      <w:r>
        <w:rPr>
          <w:rStyle w:val="CharStyle23"/>
        </w:rPr>
        <w:t>от</w:t>
        <w:tab/>
      </w:r>
    </w:p>
    <w:p>
      <w:pPr>
        <w:pStyle w:val="Style3"/>
        <w:widowControl w:val="0"/>
        <w:keepNext w:val="0"/>
        <w:keepLines w:val="0"/>
        <w:shd w:val="clear" w:color="auto" w:fill="auto"/>
        <w:bidi w:val="0"/>
        <w:spacing w:before="0" w:after="196"/>
        <w:ind w:left="0" w:right="0" w:firstLine="0"/>
      </w:pPr>
      <w:r>
        <w:rPr>
          <w:rStyle w:val="CharStyle5"/>
        </w:rPr>
        <w:t>МОНОПОЛИЯГЭ КАРШЫ ФЕДЕРАЛЬ ХЕЗМЭТ</w:t>
      </w:r>
    </w:p>
    <w:p>
      <w:pPr>
        <w:pStyle w:val="Style6"/>
        <w:widowControl w:val="0"/>
        <w:keepNext w:val="0"/>
        <w:keepLines w:val="0"/>
        <w:shd w:val="clear" w:color="auto" w:fill="auto"/>
        <w:bidi w:val="0"/>
        <w:spacing w:before="0" w:after="238"/>
        <w:ind w:left="0" w:right="0" w:firstLine="0"/>
      </w:pPr>
      <w:r>
        <w:rPr>
          <w:rStyle w:val="CharStyle8"/>
        </w:rPr>
        <w:t>Монополиям карты Федераль хезметнен Татарстан Республикасы буенча идарэсс</w:t>
      </w:r>
    </w:p>
    <w:p>
      <w:pPr>
        <w:pStyle w:val="Style9"/>
        <w:widowControl w:val="0"/>
        <w:keepNext w:val="0"/>
        <w:keepLines w:val="0"/>
        <w:shd w:val="clear" w:color="auto" w:fill="auto"/>
        <w:bidi w:val="0"/>
        <w:spacing w:before="0" w:after="493" w:line="182" w:lineRule="exact"/>
        <w:ind w:left="0" w:right="0" w:firstLine="0"/>
      </w:pPr>
      <w:r>
        <w:rPr>
          <w:rStyle w:val="CharStyle12"/>
        </w:rPr>
        <w:t xml:space="preserve">Мэскэу ур.. 55 </w:t>
      </w:r>
      <w:r>
        <w:rPr>
          <w:rStyle w:val="CharStyle12"/>
          <w:lang w:val="en-US" w:eastAsia="en-US" w:bidi="en-US"/>
        </w:rPr>
        <w:t xml:space="preserve">iiopi. </w:t>
      </w:r>
      <w:r>
        <w:rPr>
          <w:rStyle w:val="CharStyle12"/>
        </w:rPr>
        <w:t xml:space="preserve">Казан изобаре. 420021 тел.: (843) 236-89-22. факс (843) 238-19-46 </w:t>
      </w:r>
      <w:r>
        <w:rPr>
          <w:rStyle w:val="CharStyle12"/>
          <w:lang w:val="en-US" w:eastAsia="en-US" w:bidi="en-US"/>
        </w:rPr>
        <w:t xml:space="preserve">e-mail: </w:t>
      </w:r>
      <w:r>
        <w:fldChar w:fldCharType="begin"/>
      </w:r>
      <w:r>
        <w:rPr>
          <w:rStyle w:val="CharStyle12"/>
        </w:rPr>
        <w:instrText> HYPERLINK "mailto:tol6@fas.gov.ru" </w:instrText>
      </w:r>
      <w:r>
        <w:fldChar w:fldCharType="separate"/>
      </w:r>
      <w:r>
        <w:rPr>
          <w:rStyle w:val="Hyperlink"/>
          <w:lang w:val="en-US" w:eastAsia="en-US" w:bidi="en-US"/>
        </w:rPr>
        <w:t>tol6@fas.gov.ru</w:t>
      </w:r>
      <w:r>
        <w:fldChar w:fldCharType="end"/>
      </w:r>
    </w:p>
    <w:p>
      <w:pPr>
        <w:pStyle w:val="Style24"/>
        <w:widowControl w:val="0"/>
        <w:keepNext w:val="0"/>
        <w:keepLines w:val="0"/>
        <w:shd w:val="clear" w:color="auto" w:fill="auto"/>
        <w:bidi w:val="0"/>
        <w:jc w:val="left"/>
        <w:spacing w:before="0" w:after="240"/>
        <w:ind w:left="20" w:right="340" w:firstLine="0"/>
      </w:pPr>
      <w:r>
        <w:rPr>
          <w:lang w:val="ru-RU" w:eastAsia="ru-RU" w:bidi="ru-RU"/>
          <w:sz w:val="24"/>
          <w:szCs w:val="24"/>
          <w:w w:val="100"/>
          <w:spacing w:val="0"/>
          <w:color w:val="000000"/>
          <w:position w:val="0"/>
        </w:rPr>
        <w:t>Уполномоченный орган: Исполнительный комитет Актанышского муниципального района</w:t>
      </w:r>
    </w:p>
    <w:p>
      <w:pPr>
        <w:pStyle w:val="Style24"/>
        <w:widowControl w:val="0"/>
        <w:keepNext w:val="0"/>
        <w:keepLines w:val="0"/>
        <w:shd w:val="clear" w:color="auto" w:fill="auto"/>
        <w:bidi w:val="0"/>
        <w:jc w:val="left"/>
        <w:spacing w:before="0" w:after="0"/>
        <w:ind w:left="20" w:right="0" w:firstLine="0"/>
      </w:pPr>
      <w:r>
        <w:rPr>
          <w:lang w:val="ru-RU" w:eastAsia="ru-RU" w:bidi="ru-RU"/>
          <w:sz w:val="24"/>
          <w:szCs w:val="24"/>
          <w:w w:val="100"/>
          <w:spacing w:val="0"/>
          <w:color w:val="000000"/>
          <w:position w:val="0"/>
        </w:rPr>
        <w:t>Заказчик:</w:t>
      </w:r>
    </w:p>
    <w:p>
      <w:pPr>
        <w:pStyle w:val="Style24"/>
        <w:widowControl w:val="0"/>
        <w:keepNext w:val="0"/>
        <w:keepLines w:val="0"/>
        <w:shd w:val="clear" w:color="auto" w:fill="auto"/>
        <w:bidi w:val="0"/>
        <w:jc w:val="both"/>
        <w:spacing w:before="0" w:after="0"/>
        <w:ind w:left="20" w:right="60" w:firstLine="0"/>
        <w:sectPr>
          <w:footnotePr>
            <w:pos w:val="pageBottom"/>
            <w:numFmt w:val="decimal"/>
            <w:numRestart w:val="continuous"/>
          </w:footnotePr>
          <w:type w:val="continuous"/>
          <w:pgSz w:w="11906" w:h="16838"/>
          <w:pgMar w:top="407" w:left="925" w:right="1971" w:bottom="412" w:header="0" w:footer="3" w:gutter="0"/>
          <w:rtlGutter w:val="0"/>
          <w:cols w:num="2" w:space="720" w:equalWidth="0">
            <w:col w:w="4046" w:space="1502"/>
            <w:col w:w="3461"/>
          </w:cols>
          <w:noEndnote/>
          <w:docGrid w:linePitch="360"/>
        </w:sectPr>
      </w:pPr>
      <w:r>
        <w:rPr>
          <w:lang w:val="ru-RU" w:eastAsia="ru-RU" w:bidi="ru-RU"/>
          <w:sz w:val="24"/>
          <w:szCs w:val="24"/>
          <w:w w:val="100"/>
          <w:spacing w:val="0"/>
          <w:color w:val="000000"/>
          <w:position w:val="0"/>
        </w:rPr>
        <w:t>Староаймановский сельский исполнительный комитет</w:t>
      </w:r>
    </w:p>
    <w:p>
      <w:pPr>
        <w:widowControl w:val="0"/>
        <w:spacing w:before="70" w:after="7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4"/>
        <w:widowControl w:val="0"/>
        <w:keepNext w:val="0"/>
        <w:keepLines w:val="0"/>
        <w:shd w:val="clear" w:color="auto" w:fill="auto"/>
        <w:bidi w:val="0"/>
        <w:jc w:val="left"/>
        <w:spacing w:before="0" w:after="0" w:line="240" w:lineRule="exact"/>
        <w:ind w:left="5660" w:right="0" w:firstLine="0"/>
      </w:pPr>
      <w:r>
        <w:rPr>
          <w:lang w:val="ru-RU" w:eastAsia="ru-RU" w:bidi="ru-RU"/>
          <w:sz w:val="24"/>
          <w:szCs w:val="24"/>
          <w:w w:val="100"/>
          <w:spacing w:val="0"/>
          <w:color w:val="000000"/>
          <w:position w:val="0"/>
        </w:rPr>
        <w:t>Заявитель:</w:t>
      </w:r>
    </w:p>
    <w:p>
      <w:pPr>
        <w:pStyle w:val="Style24"/>
        <w:widowControl w:val="0"/>
        <w:keepNext w:val="0"/>
        <w:keepLines w:val="0"/>
        <w:shd w:val="clear" w:color="auto" w:fill="auto"/>
        <w:bidi w:val="0"/>
        <w:jc w:val="left"/>
        <w:spacing w:before="0" w:after="292" w:line="312" w:lineRule="exact"/>
        <w:ind w:left="5660" w:right="2100" w:firstLine="0"/>
      </w:pPr>
      <w:r>
        <w:rPr>
          <w:lang w:val="ru-RU" w:eastAsia="ru-RU" w:bidi="ru-RU"/>
          <w:sz w:val="24"/>
          <w:szCs w:val="24"/>
          <w:w w:val="100"/>
          <w:spacing w:val="0"/>
          <w:color w:val="000000"/>
          <w:position w:val="0"/>
        </w:rPr>
        <w:t xml:space="preserve">ООО «Перспектива» </w:t>
      </w:r>
      <w:r>
        <w:fldChar w:fldCharType="begin"/>
      </w:r>
      <w:r>
        <w:rPr>
          <w:rStyle w:val="CharStyle27"/>
        </w:rPr>
        <w:instrText> HYPERLINK "mailto:Pers-tenter@mail.ru" </w:instrText>
      </w:r>
      <w:r>
        <w:fldChar w:fldCharType="separate"/>
      </w:r>
      <w:r>
        <w:rPr>
          <w:rStyle w:val="Hyperlink"/>
        </w:rPr>
        <w:t>Pers-tenter@mail.ru</w:t>
      </w:r>
      <w:r>
        <w:fldChar w:fldCharType="end"/>
      </w:r>
    </w:p>
    <w:p>
      <w:pPr>
        <w:pStyle w:val="Style24"/>
        <w:widowControl w:val="0"/>
        <w:keepNext w:val="0"/>
        <w:keepLines w:val="0"/>
        <w:shd w:val="clear" w:color="auto" w:fill="auto"/>
        <w:bidi w:val="0"/>
        <w:jc w:val="left"/>
        <w:spacing w:before="0" w:after="548" w:line="322" w:lineRule="exact"/>
        <w:ind w:left="5660" w:right="1840" w:firstLine="0"/>
      </w:pPr>
      <w:r>
        <w:rPr>
          <w:lang w:val="ru-RU" w:eastAsia="ru-RU" w:bidi="ru-RU"/>
          <w:sz w:val="24"/>
          <w:szCs w:val="24"/>
          <w:w w:val="100"/>
          <w:spacing w:val="0"/>
          <w:color w:val="000000"/>
          <w:position w:val="0"/>
        </w:rPr>
        <w:t xml:space="preserve">ООО «Новострой» </w:t>
      </w:r>
      <w:r>
        <w:fldChar w:fldCharType="begin"/>
      </w:r>
      <w:r>
        <w:rPr>
          <w:rStyle w:val="CharStyle27"/>
        </w:rPr>
        <w:instrText> HYPERLINK "mailto:Novostroi.msk@mail.ru" </w:instrText>
      </w:r>
      <w:r>
        <w:fldChar w:fldCharType="separate"/>
      </w:r>
      <w:r>
        <w:rPr>
          <w:rStyle w:val="Hyperlink"/>
        </w:rPr>
        <w:t>Novostroi.msk@mail.ru</w:t>
      </w:r>
      <w:r>
        <w:fldChar w:fldCharType="end"/>
      </w:r>
    </w:p>
    <w:p>
      <w:pPr>
        <w:pStyle w:val="Style24"/>
        <w:widowControl w:val="0"/>
        <w:keepNext w:val="0"/>
        <w:keepLines w:val="0"/>
        <w:shd w:val="clear" w:color="auto" w:fill="auto"/>
        <w:bidi w:val="0"/>
        <w:jc w:val="left"/>
        <w:spacing w:before="0" w:after="358" w:line="312" w:lineRule="exact"/>
        <w:ind w:left="960" w:right="980" w:firstLine="1740"/>
      </w:pPr>
      <w:r>
        <w:rPr>
          <w:rStyle w:val="CharStyle28"/>
        </w:rPr>
        <w:t>РЕШЕНИЕ</w:t>
      </w:r>
      <w:r>
        <w:rPr>
          <w:lang w:val="ru-RU" w:eastAsia="ru-RU" w:bidi="ru-RU"/>
          <w:sz w:val="24"/>
          <w:szCs w:val="24"/>
          <w:w w:val="100"/>
          <w:spacing w:val="0"/>
          <w:color w:val="000000"/>
          <w:position w:val="0"/>
        </w:rPr>
        <w:t xml:space="preserve"> по делу № 523-кз/2017 о нарушении законодательства в сфере закупок товаров, работ, услуг для обеспечения государственных и муниципальных нужд</w:t>
      </w:r>
    </w:p>
    <w:p>
      <w:pPr>
        <w:pStyle w:val="Style24"/>
        <w:tabs>
          <w:tab w:leader="none" w:pos="9010" w:val="center"/>
          <w:tab w:leader="none" w:pos="10049" w:val="right"/>
        </w:tabs>
        <w:widowControl w:val="0"/>
        <w:keepNext w:val="0"/>
        <w:keepLines w:val="0"/>
        <w:shd w:val="clear" w:color="auto" w:fill="auto"/>
        <w:bidi w:val="0"/>
        <w:jc w:val="both"/>
        <w:spacing w:before="0" w:after="252" w:line="240" w:lineRule="exact"/>
        <w:ind w:left="20" w:right="0" w:firstLine="0"/>
      </w:pPr>
      <w:r>
        <w:rPr>
          <w:lang w:val="ru-RU" w:eastAsia="ru-RU" w:bidi="ru-RU"/>
          <w:sz w:val="24"/>
          <w:szCs w:val="24"/>
          <w:w w:val="100"/>
          <w:spacing w:val="0"/>
          <w:color w:val="000000"/>
          <w:position w:val="0"/>
        </w:rPr>
        <w:t>2 ноября 2017 года</w:t>
        <w:tab/>
        <w:t>г.</w:t>
        <w:tab/>
        <w:t>Казань</w:t>
      </w:r>
    </w:p>
    <w:p>
      <w:pPr>
        <w:pStyle w:val="Style24"/>
        <w:widowControl w:val="0"/>
        <w:keepNext w:val="0"/>
        <w:keepLines w:val="0"/>
        <w:shd w:val="clear" w:color="auto" w:fill="auto"/>
        <w:bidi w:val="0"/>
        <w:jc w:val="both"/>
        <w:spacing w:before="0" w:after="0" w:line="322" w:lineRule="exact"/>
        <w:ind w:left="20" w:right="20" w:firstLine="560"/>
      </w:pPr>
      <w:r>
        <w:rPr>
          <w:lang w:val="ru-RU" w:eastAsia="ru-RU" w:bidi="ru-RU"/>
          <w:sz w:val="24"/>
          <w:szCs w:val="24"/>
          <w:w w:val="100"/>
          <w:spacing w:val="0"/>
          <w:color w:val="000000"/>
          <w:position w:val="0"/>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4"/>
        <w:tabs>
          <w:tab w:leader="none" w:pos="5856" w:val="left"/>
        </w:tabs>
        <w:widowControl w:val="0"/>
        <w:keepNext w:val="0"/>
        <w:keepLines w:val="0"/>
        <w:shd w:val="clear" w:color="auto" w:fill="auto"/>
        <w:bidi w:val="0"/>
        <w:jc w:val="both"/>
        <w:spacing w:before="0" w:after="0"/>
        <w:ind w:left="840" w:right="0" w:firstLine="0"/>
      </w:pPr>
      <w:r>
        <w:rPr>
          <w:lang w:val="ru-RU" w:eastAsia="ru-RU" w:bidi="ru-RU"/>
          <w:sz w:val="24"/>
          <w:szCs w:val="24"/>
          <w:w w:val="100"/>
          <w:spacing w:val="0"/>
          <w:color w:val="000000"/>
          <w:position w:val="0"/>
        </w:rPr>
        <w:t>Зам. председателя Комиссии:</w:t>
        <w:tab/>
        <w:t>Яфизова А.А. - начальника</w:t>
      </w:r>
    </w:p>
    <w:p>
      <w:pPr>
        <w:pStyle w:val="Style24"/>
        <w:widowControl w:val="0"/>
        <w:keepNext w:val="0"/>
        <w:keepLines w:val="0"/>
        <w:shd w:val="clear" w:color="auto" w:fill="auto"/>
        <w:bidi w:val="0"/>
        <w:jc w:val="right"/>
        <w:spacing w:before="0" w:after="0"/>
        <w:ind w:left="0" w:right="120" w:firstLine="0"/>
      </w:pPr>
      <w:r>
        <w:rPr>
          <w:lang w:val="ru-RU" w:eastAsia="ru-RU" w:bidi="ru-RU"/>
          <w:sz w:val="24"/>
          <w:szCs w:val="24"/>
          <w:w w:val="100"/>
          <w:spacing w:val="0"/>
          <w:color w:val="000000"/>
          <w:position w:val="0"/>
        </w:rPr>
        <w:t>отдела,</w:t>
      </w:r>
    </w:p>
    <w:p>
      <w:pPr>
        <w:pStyle w:val="Style24"/>
        <w:tabs>
          <w:tab w:leader="none" w:pos="5856" w:val="left"/>
          <w:tab w:leader="none" w:pos="10049" w:val="right"/>
        </w:tabs>
        <w:widowControl w:val="0"/>
        <w:keepNext w:val="0"/>
        <w:keepLines w:val="0"/>
        <w:shd w:val="clear" w:color="auto" w:fill="auto"/>
        <w:bidi w:val="0"/>
        <w:jc w:val="both"/>
        <w:spacing w:before="0" w:after="0"/>
        <w:ind w:left="840" w:right="0" w:firstLine="0"/>
      </w:pPr>
      <w:r>
        <w:rPr>
          <w:lang w:val="ru-RU" w:eastAsia="ru-RU" w:bidi="ru-RU"/>
          <w:sz w:val="24"/>
          <w:szCs w:val="24"/>
          <w:w w:val="100"/>
          <w:spacing w:val="0"/>
          <w:color w:val="000000"/>
          <w:position w:val="0"/>
        </w:rPr>
        <w:t>Членов Комиссии:</w:t>
        <w:tab/>
        <w:t>Амировой В.Р.</w:t>
        <w:tab/>
        <w:t>- ведущего</w:t>
      </w:r>
    </w:p>
    <w:p>
      <w:pPr>
        <w:pStyle w:val="Style24"/>
        <w:widowControl w:val="0"/>
        <w:keepNext w:val="0"/>
        <w:keepLines w:val="0"/>
        <w:shd w:val="clear" w:color="auto" w:fill="auto"/>
        <w:bidi w:val="0"/>
        <w:jc w:val="right"/>
        <w:spacing w:before="0" w:after="0"/>
        <w:ind w:left="0" w:right="120" w:firstLine="0"/>
      </w:pPr>
      <w:r>
        <w:rPr>
          <w:lang w:val="ru-RU" w:eastAsia="ru-RU" w:bidi="ru-RU"/>
          <w:sz w:val="24"/>
          <w:szCs w:val="24"/>
          <w:w w:val="100"/>
          <w:spacing w:val="0"/>
          <w:color w:val="000000"/>
          <w:position w:val="0"/>
        </w:rPr>
        <w:t>специалиста-эксперта,</w:t>
      </w:r>
    </w:p>
    <w:p>
      <w:pPr>
        <w:pStyle w:val="Style24"/>
        <w:widowControl w:val="0"/>
        <w:keepNext w:val="0"/>
        <w:keepLines w:val="0"/>
        <w:shd w:val="clear" w:color="auto" w:fill="auto"/>
        <w:bidi w:val="0"/>
        <w:jc w:val="both"/>
        <w:spacing w:before="0" w:after="0"/>
        <w:ind w:left="5940" w:right="120" w:firstLine="0"/>
      </w:pPr>
      <w:r>
        <w:rPr>
          <w:lang w:val="ru-RU" w:eastAsia="ru-RU" w:bidi="ru-RU"/>
          <w:sz w:val="24"/>
          <w:szCs w:val="24"/>
          <w:w w:val="100"/>
          <w:spacing w:val="0"/>
          <w:color w:val="000000"/>
          <w:position w:val="0"/>
        </w:rPr>
        <w:t>Закировой А.Р. - специалиста- эксперта,</w:t>
      </w:r>
    </w:p>
    <w:p>
      <w:pPr>
        <w:pStyle w:val="Style24"/>
        <w:widowControl w:val="0"/>
        <w:keepNext w:val="0"/>
        <w:keepLines w:val="0"/>
        <w:shd w:val="clear" w:color="auto" w:fill="auto"/>
        <w:bidi w:val="0"/>
        <w:jc w:val="both"/>
        <w:spacing w:before="0" w:after="422"/>
        <w:ind w:left="20" w:right="20" w:firstLine="720"/>
      </w:pPr>
      <w:r>
        <w:rPr>
          <w:lang w:val="ru-RU" w:eastAsia="ru-RU" w:bidi="ru-RU"/>
          <w:sz w:val="24"/>
          <w:szCs w:val="24"/>
          <w:w w:val="100"/>
          <w:spacing w:val="0"/>
          <w:color w:val="000000"/>
          <w:position w:val="0"/>
        </w:rPr>
        <w:t>в отсутствии представителей уполномоченного органа - Исполнительный комитет Актанышского муниципального района, заказчика - Староаймановский сельский исполнительный комитет, о времени и месте рассмотрения жалобы уведомленного надлежащим образом, в отсутствии представителей заявителей ООО</w:t>
      </w:r>
    </w:p>
    <w:p>
      <w:pPr>
        <w:pStyle w:val="Style24"/>
        <w:widowControl w:val="0"/>
        <w:keepNext w:val="0"/>
        <w:keepLines w:val="0"/>
        <w:shd w:val="clear" w:color="auto" w:fill="auto"/>
        <w:bidi w:val="0"/>
        <w:jc w:val="right"/>
        <w:spacing w:before="0" w:after="0" w:line="240" w:lineRule="exact"/>
        <w:ind w:left="0" w:right="120" w:firstLine="0"/>
      </w:pPr>
      <w:r>
        <w:rPr>
          <w:lang w:val="ru-RU" w:eastAsia="ru-RU" w:bidi="ru-RU"/>
          <w:sz w:val="24"/>
          <w:szCs w:val="24"/>
          <w:w w:val="100"/>
          <w:spacing w:val="0"/>
          <w:color w:val="000000"/>
          <w:position w:val="0"/>
        </w:rPr>
        <w:t>138937</w:t>
      </w:r>
      <w:r>
        <w:br w:type="page"/>
      </w:r>
    </w:p>
    <w:p>
      <w:pPr>
        <w:pStyle w:val="Style24"/>
        <w:widowControl w:val="0"/>
        <w:keepNext w:val="0"/>
        <w:keepLines w:val="0"/>
        <w:shd w:val="clear" w:color="auto" w:fill="auto"/>
        <w:bidi w:val="0"/>
        <w:jc w:val="both"/>
        <w:spacing w:before="0" w:after="305" w:line="322" w:lineRule="exact"/>
        <w:ind w:left="40" w:right="40" w:firstLine="0"/>
      </w:pPr>
      <w:r>
        <w:rPr>
          <w:lang w:val="ru-RU" w:eastAsia="ru-RU" w:bidi="ru-RU"/>
          <w:sz w:val="24"/>
          <w:szCs w:val="24"/>
          <w:w w:val="100"/>
          <w:spacing w:val="0"/>
          <w:color w:val="000000"/>
          <w:position w:val="0"/>
        </w:rPr>
        <w:t>«Перспектива» и ООО «Новострой», о времени и месте рассмотрения жалобы уведомленного надлежащим образом, рассмотрев жалобу ООО «Перспектива» и ООО «Новострой» на действия уполномоченного органа Исполнительный комитет Актанышского муниципального района, заказчика - Староаймановский сельский исполнительный комитет при проведении электронного аукциона № 0111300030917000168 на предмет: «Капитальный ремонт улиц Новая, С.Шарипова, З.Мазитова в н.п. Айманово, а также Капитальный ремонт Центральная в н.п. Кулуново Актанышского муниципального района»,</w:t>
      </w:r>
    </w:p>
    <w:p>
      <w:pPr>
        <w:pStyle w:val="Style24"/>
        <w:widowControl w:val="0"/>
        <w:keepNext w:val="0"/>
        <w:keepLines w:val="0"/>
        <w:shd w:val="clear" w:color="auto" w:fill="auto"/>
        <w:bidi w:val="0"/>
        <w:jc w:val="left"/>
        <w:spacing w:before="0" w:after="264" w:line="240" w:lineRule="exact"/>
        <w:ind w:left="4140" w:right="0" w:firstLine="0"/>
      </w:pPr>
      <w:r>
        <w:rPr>
          <w:rStyle w:val="CharStyle28"/>
        </w:rPr>
        <w:t>УСТАНОВИЛА:</w:t>
      </w:r>
    </w:p>
    <w:p>
      <w:pPr>
        <w:pStyle w:val="Style24"/>
        <w:widowControl w:val="0"/>
        <w:keepNext w:val="0"/>
        <w:keepLines w:val="0"/>
        <w:shd w:val="clear" w:color="auto" w:fill="auto"/>
        <w:bidi w:val="0"/>
        <w:jc w:val="both"/>
        <w:spacing w:before="0" w:after="0" w:line="312" w:lineRule="exact"/>
        <w:ind w:left="40" w:right="40" w:firstLine="720"/>
      </w:pPr>
      <w:r>
        <w:rPr>
          <w:lang w:val="ru-RU" w:eastAsia="ru-RU" w:bidi="ru-RU"/>
          <w:sz w:val="24"/>
          <w:szCs w:val="24"/>
          <w:w w:val="100"/>
          <w:spacing w:val="0"/>
          <w:color w:val="000000"/>
          <w:position w:val="0"/>
        </w:rPr>
        <w:t xml:space="preserve">Извещение о проведении электронного аукциона №0111300030917000168, размещено на официальном сайте Российской Федерации </w:t>
      </w:r>
      <w:r>
        <w:fldChar w:fldCharType="begin"/>
      </w:r>
      <w:r>
        <w:rPr>
          <w:rStyle w:val="CharStyle27"/>
        </w:rPr>
        <w:instrText> HYPERLINK "http://etp.zakazrf.ru" </w:instrText>
      </w:r>
      <w:r>
        <w:fldChar w:fldCharType="separate"/>
      </w:r>
      <w:r>
        <w:rPr>
          <w:rStyle w:val="Hyperlink"/>
        </w:rPr>
        <w:t>http://etp.zakazrf.ru</w:t>
      </w:r>
      <w:r>
        <w:fldChar w:fldCharType="end"/>
      </w: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11.10.2017г.</w:t>
      </w:r>
    </w:p>
    <w:p>
      <w:pPr>
        <w:pStyle w:val="Style24"/>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Уполномоченный орган - Исполнительный комитет Актанышского муниципального района.</w:t>
      </w:r>
    </w:p>
    <w:p>
      <w:pPr>
        <w:pStyle w:val="Style24"/>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Заказчик - Староаймановский сельский исполнительный комитет.</w:t>
      </w:r>
    </w:p>
    <w:p>
      <w:pPr>
        <w:pStyle w:val="Style24"/>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Начальная (максимальная) цена контракта - 29 371 451, 00 руб.</w:t>
      </w:r>
    </w:p>
    <w:p>
      <w:pPr>
        <w:pStyle w:val="Style24"/>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Суть жалобы, по мнению заявителя, закупка проводится с нарушением норм действующего законодательства.</w:t>
      </w:r>
    </w:p>
    <w:p>
      <w:pPr>
        <w:pStyle w:val="Style29"/>
        <w:widowControl w:val="0"/>
        <w:keepNext w:val="0"/>
        <w:keepLines w:val="0"/>
        <w:shd w:val="clear" w:color="auto" w:fill="auto"/>
        <w:bidi w:val="0"/>
        <w:spacing w:before="0" w:after="0"/>
        <w:ind w:left="40" w:right="0"/>
      </w:pPr>
      <w:r>
        <w:rPr>
          <w:lang w:val="ru-RU" w:eastAsia="ru-RU" w:bidi="ru-RU"/>
          <w:w w:val="100"/>
          <w:color w:val="000000"/>
          <w:position w:val="0"/>
        </w:rPr>
        <w:t>Позиция заявителя (ООО «Новострой»):</w:t>
      </w:r>
    </w:p>
    <w:p>
      <w:pPr>
        <w:pStyle w:val="Style24"/>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Согласно доводам заявителя, заказчиком в аукционной документации не установлен перечень документов, необходимых к представлению участнику во второй части заявки на участие в аукционе согласно Постановлению Правительства РФ от 04.02.2015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p>
    <w:p>
      <w:pPr>
        <w:pStyle w:val="Style29"/>
        <w:widowControl w:val="0"/>
        <w:keepNext w:val="0"/>
        <w:keepLines w:val="0"/>
        <w:shd w:val="clear" w:color="auto" w:fill="auto"/>
        <w:bidi w:val="0"/>
        <w:spacing w:before="0" w:after="0"/>
        <w:ind w:left="40" w:right="0"/>
      </w:pPr>
      <w:r>
        <w:rPr>
          <w:lang w:val="ru-RU" w:eastAsia="ru-RU" w:bidi="ru-RU"/>
          <w:w w:val="100"/>
          <w:color w:val="000000"/>
          <w:position w:val="0"/>
        </w:rPr>
        <w:t>Позиция заявителя (ООО «Перспектива»):</w:t>
      </w:r>
    </w:p>
    <w:p>
      <w:pPr>
        <w:pStyle w:val="Style24"/>
        <w:numPr>
          <w:ilvl w:val="0"/>
          <w:numId w:val="1"/>
        </w:numPr>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 Согласно доводам заявителя, заказчиком в проекте контракта отсутствует информация о размерах штрафа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24"/>
        <w:numPr>
          <w:ilvl w:val="0"/>
          <w:numId w:val="1"/>
        </w:numPr>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 Заказчиком не включена в аукционную документацию проектная документация.</w:t>
      </w:r>
    </w:p>
    <w:p>
      <w:pPr>
        <w:pStyle w:val="Style24"/>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Заказчик свою позицию относительно доводов ООО «Новострой» и ООО «Перспектива» не представил.</w:t>
      </w:r>
    </w:p>
    <w:p>
      <w:pPr>
        <w:pStyle w:val="Style31"/>
        <w:widowControl w:val="0"/>
        <w:keepNext w:val="0"/>
        <w:keepLines w:val="0"/>
        <w:shd w:val="clear" w:color="auto" w:fill="auto"/>
        <w:bidi w:val="0"/>
        <w:spacing w:before="0" w:after="0"/>
        <w:ind w:left="60" w:right="40"/>
      </w:pPr>
      <w:r>
        <w:rPr>
          <w:lang w:val="ru-RU" w:eastAsia="ru-RU" w:bidi="ru-RU"/>
          <w:sz w:val="24"/>
          <w:szCs w:val="24"/>
          <w:w w:val="100"/>
          <w:spacing w:val="0"/>
          <w:color w:val="000000"/>
          <w:position w:val="0"/>
        </w:rPr>
        <w:t>Комиссия Татарстанского УФАС России изучив материалы и аукционную документацию приходит к следующим выводам.</w:t>
      </w:r>
    </w:p>
    <w:p>
      <w:pPr>
        <w:pStyle w:val="Style33"/>
        <w:numPr>
          <w:ilvl w:val="0"/>
          <w:numId w:val="3"/>
        </w:numPr>
        <w:tabs>
          <w:tab w:leader="none" w:pos="1106" w:val="left"/>
        </w:tabs>
        <w:widowControl w:val="0"/>
        <w:keepNext w:val="0"/>
        <w:keepLines w:val="0"/>
        <w:shd w:val="clear" w:color="auto" w:fill="auto"/>
        <w:bidi w:val="0"/>
        <w:spacing w:before="0" w:after="0"/>
        <w:ind w:left="60" w:right="0"/>
      </w:pPr>
      <w:r>
        <w:rPr>
          <w:lang w:val="ru-RU" w:eastAsia="ru-RU" w:bidi="ru-RU"/>
          <w:w w:val="100"/>
          <w:spacing w:val="0"/>
          <w:color w:val="000000"/>
          <w:position w:val="0"/>
        </w:rPr>
        <w:t>Относительно довода ООО «Новострой».</w:t>
      </w:r>
    </w:p>
    <w:p>
      <w:pPr>
        <w:pStyle w:val="Style24"/>
        <w:widowControl w:val="0"/>
        <w:keepNext w:val="0"/>
        <w:keepLines w:val="0"/>
        <w:shd w:val="clear" w:color="auto" w:fill="auto"/>
        <w:bidi w:val="0"/>
        <w:jc w:val="both"/>
        <w:spacing w:before="0" w:after="0" w:line="298" w:lineRule="exact"/>
        <w:ind w:left="60" w:right="40" w:firstLine="700"/>
      </w:pPr>
      <w:r>
        <w:rPr>
          <w:lang w:val="ru-RU" w:eastAsia="ru-RU" w:bidi="ru-RU"/>
          <w:sz w:val="24"/>
          <w:szCs w:val="24"/>
          <w:w w:val="100"/>
          <w:spacing w:val="0"/>
          <w:color w:val="000000"/>
          <w:position w:val="0"/>
        </w:rPr>
        <w:t xml:space="preserve">Согласно извещению о проведении электронного аукциона Код по ОКПД2 - </w:t>
      </w:r>
      <w:r>
        <w:rPr>
          <w:rStyle w:val="CharStyle35"/>
        </w:rPr>
        <w:t>42</w:t>
      </w:r>
      <w:r>
        <w:rPr>
          <w:rStyle w:val="CharStyle36"/>
        </w:rPr>
        <w:t>.</w:t>
      </w:r>
      <w:r>
        <w:rPr>
          <w:rStyle w:val="CharStyle35"/>
        </w:rPr>
        <w:t>11</w:t>
      </w:r>
      <w:r>
        <w:rPr>
          <w:rStyle w:val="CharStyle36"/>
        </w:rPr>
        <w:t>.</w:t>
      </w:r>
      <w:r>
        <w:rPr>
          <w:rStyle w:val="CharStyle35"/>
        </w:rPr>
        <w:t>10</w:t>
      </w:r>
      <w:r>
        <w:rPr>
          <w:rStyle w:val="CharStyle36"/>
        </w:rPr>
        <w:t>.</w:t>
      </w:r>
      <w:r>
        <w:rPr>
          <w:rStyle w:val="CharStyle35"/>
        </w:rPr>
        <w:t>120</w:t>
      </w:r>
      <w:r>
        <w:rPr>
          <w:rStyle w:val="CharStyle36"/>
        </w:rPr>
        <w:t>.</w:t>
      </w:r>
    </w:p>
    <w:p>
      <w:pPr>
        <w:pStyle w:val="Style24"/>
        <w:tabs>
          <w:tab w:leader="none" w:pos="8258" w:val="center"/>
          <w:tab w:leader="none" w:pos="10245" w:val="right"/>
        </w:tabs>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В соответствии с постановлением Правительства РФ от 04.02.2015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к участникам закупки, выполняющим</w:t>
        <w:tab/>
        <w:t>строительные</w:t>
        <w:tab/>
        <w:t>работы,</w:t>
      </w:r>
    </w:p>
    <w:p>
      <w:pPr>
        <w:pStyle w:val="Style24"/>
        <w:widowControl w:val="0"/>
        <w:keepNext w:val="0"/>
        <w:keepLines w:val="0"/>
        <w:shd w:val="clear" w:color="auto" w:fill="auto"/>
        <w:bidi w:val="0"/>
        <w:jc w:val="both"/>
        <w:spacing w:before="0" w:after="0"/>
        <w:ind w:left="60" w:right="40" w:firstLine="0"/>
      </w:pPr>
      <w:r>
        <w:rPr>
          <w:lang w:val="ru-RU" w:eastAsia="ru-RU" w:bidi="ru-RU"/>
          <w:sz w:val="24"/>
          <w:szCs w:val="24"/>
          <w:w w:val="100"/>
          <w:spacing w:val="0"/>
          <w:color w:val="000000"/>
          <w:position w:val="0"/>
        </w:rPr>
        <w:t>включенные в коды 41.2, 42, 43 (кроме кода 43.13) Общероссийского классификатора продукции по видам экономической деятельности (ОКПД2) ОК 034-2014, в случае, если начальная (максимальная) цена контракта (цена лота) превышает 10 млн. рублей устанавливаются дополнительные требования в виде наличие опыта исполнения (с учетом правопреемства) одного контракта (договора) на выполнение соответствующих работ строительных за последние 3 года до даты подачи заявки на участие в закупке. При этом стоимость такого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закупка.</w:t>
      </w:r>
    </w:p>
    <w:p>
      <w:pPr>
        <w:pStyle w:val="Style24"/>
        <w:tabs>
          <w:tab w:leader="none" w:pos="8258" w:val="center"/>
          <w:tab w:leader="none" w:pos="10245" w:val="right"/>
        </w:tabs>
        <w:widowControl w:val="0"/>
        <w:keepNext w:val="0"/>
        <w:keepLines w:val="0"/>
        <w:shd w:val="clear" w:color="auto" w:fill="auto"/>
        <w:bidi w:val="0"/>
        <w:jc w:val="both"/>
        <w:spacing w:before="0" w:after="0"/>
        <w:ind w:left="60" w:right="0" w:firstLine="700"/>
      </w:pPr>
      <w:r>
        <w:rPr>
          <w:lang w:val="ru-RU" w:eastAsia="ru-RU" w:bidi="ru-RU"/>
          <w:sz w:val="24"/>
          <w:szCs w:val="24"/>
          <w:w w:val="100"/>
          <w:spacing w:val="0"/>
          <w:color w:val="000000"/>
          <w:position w:val="0"/>
        </w:rPr>
        <w:t>Документами, подтверждающими соответствие</w:t>
        <w:tab/>
        <w:t>участников</w:t>
        <w:tab/>
        <w:t>закупки</w:t>
      </w:r>
    </w:p>
    <w:p>
      <w:pPr>
        <w:pStyle w:val="Style24"/>
        <w:widowControl w:val="0"/>
        <w:keepNext w:val="0"/>
        <w:keepLines w:val="0"/>
        <w:shd w:val="clear" w:color="auto" w:fill="auto"/>
        <w:bidi w:val="0"/>
        <w:jc w:val="both"/>
        <w:spacing w:before="0" w:after="0"/>
        <w:ind w:left="60" w:right="0" w:firstLine="0"/>
      </w:pPr>
      <w:r>
        <w:rPr>
          <w:lang w:val="ru-RU" w:eastAsia="ru-RU" w:bidi="ru-RU"/>
          <w:sz w:val="24"/>
          <w:szCs w:val="24"/>
          <w:w w:val="100"/>
          <w:spacing w:val="0"/>
          <w:color w:val="000000"/>
          <w:position w:val="0"/>
        </w:rPr>
        <w:t>дополнительным требованиям являются:</w:t>
      </w:r>
    </w:p>
    <w:p>
      <w:pPr>
        <w:pStyle w:val="Style24"/>
        <w:numPr>
          <w:ilvl w:val="0"/>
          <w:numId w:val="5"/>
        </w:numPr>
        <w:widowControl w:val="0"/>
        <w:keepNext w:val="0"/>
        <w:keepLines w:val="0"/>
        <w:shd w:val="clear" w:color="auto" w:fill="auto"/>
        <w:bidi w:val="0"/>
        <w:jc w:val="both"/>
        <w:spacing w:before="0" w:after="0"/>
        <w:ind w:left="60" w:right="0" w:firstLine="700"/>
      </w:pPr>
      <w:r>
        <w:rPr>
          <w:lang w:val="ru-RU" w:eastAsia="ru-RU" w:bidi="ru-RU"/>
          <w:sz w:val="24"/>
          <w:szCs w:val="24"/>
          <w:w w:val="100"/>
          <w:spacing w:val="0"/>
          <w:color w:val="000000"/>
          <w:position w:val="0"/>
        </w:rPr>
        <w:t xml:space="preserve"> копия исполненного контракта (договора);</w:t>
      </w:r>
    </w:p>
    <w:p>
      <w:pPr>
        <w:pStyle w:val="Style24"/>
        <w:numPr>
          <w:ilvl w:val="0"/>
          <w:numId w:val="5"/>
        </w:numPr>
        <w:tabs>
          <w:tab w:leader="none" w:pos="8258" w:val="center"/>
          <w:tab w:leader="none" w:pos="9137" w:val="center"/>
        </w:tabs>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 копия акта (актов) выполненных работ, содержащего (содержащих) все обязательные реквизиты, установленные частью 2 статьи 9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tab/>
        <w:t>Указанный</w:t>
        <w:tab/>
        <w:t>документ</w:t>
      </w:r>
    </w:p>
    <w:p>
      <w:pPr>
        <w:pStyle w:val="Style24"/>
        <w:tabs>
          <w:tab w:leader="none" w:pos="10245" w:val="right"/>
        </w:tabs>
        <w:widowControl w:val="0"/>
        <w:keepNext w:val="0"/>
        <w:keepLines w:val="0"/>
        <w:shd w:val="clear" w:color="auto" w:fill="auto"/>
        <w:bidi w:val="0"/>
        <w:jc w:val="both"/>
        <w:spacing w:before="0" w:after="0"/>
        <w:ind w:left="60" w:right="0" w:firstLine="0"/>
      </w:pPr>
      <w:r>
        <w:rPr>
          <w:lang w:val="ru-RU" w:eastAsia="ru-RU" w:bidi="ru-RU"/>
          <w:sz w:val="24"/>
          <w:szCs w:val="24"/>
          <w:w w:val="100"/>
          <w:spacing w:val="0"/>
          <w:color w:val="000000"/>
          <w:position w:val="0"/>
        </w:rPr>
        <w:t>(документы) должен быть подписан (подписаны) не ранее чем за 3 года</w:t>
        <w:tab/>
        <w:t>до даты</w:t>
      </w:r>
    </w:p>
    <w:p>
      <w:pPr>
        <w:pStyle w:val="Style24"/>
        <w:widowControl w:val="0"/>
        <w:keepNext w:val="0"/>
        <w:keepLines w:val="0"/>
        <w:shd w:val="clear" w:color="auto" w:fill="auto"/>
        <w:bidi w:val="0"/>
        <w:jc w:val="both"/>
        <w:spacing w:before="0" w:after="0"/>
        <w:ind w:left="60" w:right="0" w:firstLine="0"/>
      </w:pPr>
      <w:r>
        <w:rPr>
          <w:lang w:val="ru-RU" w:eastAsia="ru-RU" w:bidi="ru-RU"/>
          <w:sz w:val="24"/>
          <w:szCs w:val="24"/>
          <w:w w:val="100"/>
          <w:spacing w:val="0"/>
          <w:color w:val="000000"/>
          <w:position w:val="0"/>
        </w:rPr>
        <w:t>окончания срока подачи заявок на участие в закупке;</w:t>
      </w:r>
    </w:p>
    <w:p>
      <w:pPr>
        <w:pStyle w:val="Style24"/>
        <w:numPr>
          <w:ilvl w:val="0"/>
          <w:numId w:val="5"/>
        </w:numPr>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 xml:space="preserve"> 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градостроительным законодательством Российской Федерации). Указанный документ (документы) должен быть подписан (подписаны) не ранее чем за 3 года до даты окончания срока подачи заявок на участие в закупке.</w:t>
      </w:r>
    </w:p>
    <w:p>
      <w:pPr>
        <w:pStyle w:val="Style24"/>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В результате изучении аукционной документации Комиссия установила, что пунктом 14 раздела 1.5 «Требования к участникам закупки» заказчиком установлено:</w:t>
      </w:r>
    </w:p>
    <w:p>
      <w:pPr>
        <w:pStyle w:val="Style24"/>
        <w:widowControl w:val="0"/>
        <w:keepNext w:val="0"/>
        <w:keepLines w:val="0"/>
        <w:shd w:val="clear" w:color="auto" w:fill="auto"/>
        <w:bidi w:val="0"/>
        <w:jc w:val="both"/>
        <w:spacing w:before="0" w:after="0"/>
        <w:ind w:left="60" w:right="40" w:firstLine="700"/>
      </w:pPr>
      <w:r>
        <w:rPr>
          <w:lang w:val="ru-RU" w:eastAsia="ru-RU" w:bidi="ru-RU"/>
          <w:sz w:val="24"/>
          <w:szCs w:val="24"/>
          <w:w w:val="100"/>
          <w:spacing w:val="0"/>
          <w:color w:val="000000"/>
          <w:position w:val="0"/>
        </w:rPr>
        <w:t>«В соответствии с Постановлением Правительства Российской Федерации от 4 февраля 2015 г. № 99 «Об установлении дополнительных требований к участникам закупки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к участникам электронного аукциона установлено дополнительное требование:</w:t>
      </w:r>
    </w:p>
    <w:p>
      <w:pPr>
        <w:pStyle w:val="Style24"/>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Наличие опыта исполнения (с учетом правопреемства) одного контракта (договора) на выполнение соответствующих объекту закупки данного электронного аукциона работ за последние 3 года до даты подачи заявки на участие в электронном аукционе. При этом стоимость такого исполненного контракта (договора) должна составлять не менее 20 процентов начальной (максимальной) цены контракта, на право заключить который проводится данный электронный аукцион».</w:t>
      </w:r>
    </w:p>
    <w:p>
      <w:pPr>
        <w:pStyle w:val="Style24"/>
        <w:widowControl w:val="0"/>
        <w:keepNext w:val="0"/>
        <w:keepLines w:val="0"/>
        <w:shd w:val="clear" w:color="auto" w:fill="auto"/>
        <w:bidi w:val="0"/>
        <w:jc w:val="left"/>
        <w:spacing w:before="0" w:after="0"/>
        <w:ind w:left="40" w:right="40" w:firstLine="700"/>
      </w:pPr>
      <w:r>
        <w:rPr>
          <w:lang w:val="ru-RU" w:eastAsia="ru-RU" w:bidi="ru-RU"/>
          <w:sz w:val="24"/>
          <w:szCs w:val="24"/>
          <w:w w:val="100"/>
          <w:spacing w:val="0"/>
          <w:color w:val="000000"/>
          <w:position w:val="0"/>
        </w:rPr>
        <w:t>В разделе 1.4 «Порядок подачи заявок участником закупки, требования к содержанию, составу заявки на участие в аукционе в электронной форме и инструкция по ее заполнению» аукционной документации заказчиком указано, что вторая часть заявки на участие в аукционе в электронной форме должна содержать следующие документы и информацию:</w:t>
      </w:r>
    </w:p>
    <w:p>
      <w:pPr>
        <w:pStyle w:val="Style24"/>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аукциона (для иностранного лица),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такого аукциона (Раздел 2.10. Форма общих сведений об участнике закупки (рекомендуемая к заполнению));</w:t>
      </w:r>
    </w:p>
    <w:p>
      <w:pPr>
        <w:pStyle w:val="Style24"/>
        <w:numPr>
          <w:ilvl w:val="0"/>
          <w:numId w:val="7"/>
        </w:numPr>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декларацию о соответствии участника аукциона в электронной форме требованиям, установленным пунктами 2-7 Раздела 1.5. Требования к участникам закупки настоящей документации об электронном аукционе;</w:t>
      </w:r>
    </w:p>
    <w:p>
      <w:pPr>
        <w:pStyle w:val="Style24"/>
        <w:numPr>
          <w:ilvl w:val="0"/>
          <w:numId w:val="7"/>
        </w:numPr>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аукциона в электронной форме заключаемый контракт или предоставление обеспечения заявки на участие в аукционе в электронной форме, обеспечения исполнения контракта является крупной сделкой.</w:t>
      </w:r>
    </w:p>
    <w:p>
      <w:pPr>
        <w:pStyle w:val="Style24"/>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Таким образом, Комиссия Татарстанского УФАС России приходит к выводу, что заказчиком в документации не установлен перечень необходимых документов согласно Постановлению Правительства РФ от 04.02.2015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w:t>
      </w:r>
      <w:r>
        <w:rPr>
          <w:rStyle w:val="CharStyle37"/>
        </w:rPr>
        <w:t xml:space="preserve">необходимый уровень квалификации, а также документов, подтверждающих </w:t>
      </w:r>
      <w:r>
        <w:rPr>
          <w:lang w:val="ru-RU" w:eastAsia="ru-RU" w:bidi="ru-RU"/>
          <w:sz w:val="24"/>
          <w:szCs w:val="24"/>
          <w:w w:val="100"/>
          <w:spacing w:val="0"/>
          <w:color w:val="000000"/>
          <w:position w:val="0"/>
        </w:rPr>
        <w:t>соответствие участников закупки указанным дополнительным требованиям».</w:t>
      </w:r>
    </w:p>
    <w:p>
      <w:pPr>
        <w:pStyle w:val="Style24"/>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В соответствии с пунктом 2 части 1 статьи 64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pPr>
        <w:pStyle w:val="Style24"/>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2) требования к содержанию, составу заявки на участие в таком аукционе в соответствии с частями 3-6 статьи 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24"/>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Пунктом 2 части 5 статьи 66 Закона о контрактной системе установлено, что вторая часть заявки на участие в электронном аукционе должна содержать документы, подтверждающие соответствие участника такого аукциона требованиям, установленным пунктом 1 части 1, частями 2 и 2.1 статьи 31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пунктами 3-9 части 1 статьи 31 настоящего Федерального закона.</w:t>
      </w:r>
    </w:p>
    <w:p>
      <w:pPr>
        <w:pStyle w:val="Style24"/>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Частью 2 статьи 31 Закона о контрактной системе установлено,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pPr>
        <w:pStyle w:val="Style24"/>
        <w:numPr>
          <w:ilvl w:val="0"/>
          <w:numId w:val="9"/>
        </w:numPr>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 xml:space="preserve"> финансовых ресурсов для исполнения контракта;</w:t>
      </w:r>
    </w:p>
    <w:p>
      <w:pPr>
        <w:pStyle w:val="Style24"/>
        <w:numPr>
          <w:ilvl w:val="0"/>
          <w:numId w:val="9"/>
        </w:numPr>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24"/>
        <w:numPr>
          <w:ilvl w:val="0"/>
          <w:numId w:val="9"/>
        </w:numPr>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 xml:space="preserve"> опыта работы, связанного с предметом контракта, и деловой репутации;</w:t>
      </w:r>
    </w:p>
    <w:p>
      <w:pPr>
        <w:pStyle w:val="Style24"/>
        <w:numPr>
          <w:ilvl w:val="0"/>
          <w:numId w:val="9"/>
        </w:numPr>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24"/>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Следовательно, довод заявителя является обоснованным и заказчиком нарушены требования пункта 2 части 1 статьи 64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33"/>
        <w:numPr>
          <w:ilvl w:val="0"/>
          <w:numId w:val="3"/>
        </w:numPr>
        <w:tabs>
          <w:tab w:leader="none" w:pos="1456" w:val="left"/>
        </w:tabs>
        <w:widowControl w:val="0"/>
        <w:keepNext w:val="0"/>
        <w:keepLines w:val="0"/>
        <w:shd w:val="clear" w:color="auto" w:fill="auto"/>
        <w:bidi w:val="0"/>
        <w:spacing w:before="0" w:after="0" w:line="317" w:lineRule="exact"/>
        <w:ind w:left="40" w:right="0" w:firstLine="720"/>
      </w:pPr>
      <w:r>
        <w:rPr>
          <w:lang w:val="ru-RU" w:eastAsia="ru-RU" w:bidi="ru-RU"/>
          <w:w w:val="100"/>
          <w:spacing w:val="0"/>
          <w:color w:val="000000"/>
          <w:position w:val="0"/>
        </w:rPr>
        <w:t>Относительно доводов ООО «Перспектива».</w:t>
      </w:r>
    </w:p>
    <w:p>
      <w:pPr>
        <w:pStyle w:val="Style24"/>
        <w:numPr>
          <w:ilvl w:val="1"/>
          <w:numId w:val="3"/>
        </w:numPr>
        <w:tabs>
          <w:tab w:leader="none" w:pos="1456" w:val="left"/>
        </w:tabs>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24"/>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Согласно частям 5, 8 статьи 34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штрафы начисляются за ненадлежащее исполнение заказчиком и поставщиком (подрядчиком,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24"/>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РФ от 30.08.2017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
    <w:p>
      <w:pPr>
        <w:pStyle w:val="Style24"/>
        <w:tabs>
          <w:tab w:leader="none" w:pos="2514" w:val="center"/>
          <w:tab w:leader="none" w:pos="3790" w:val="left"/>
          <w:tab w:leader="none" w:pos="7794" w:val="left"/>
        </w:tabs>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Пунктом 8 Постановления Правительства РФ от 30.08.2017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1042 в случае если в соответствии с частью 6 статьи 30 Законом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w:t>
        <w:tab/>
        <w:t>субподрядчиков,</w:t>
        <w:tab/>
        <w:t>соисполнителей из числа</w:t>
        <w:tab/>
        <w:t>субъектов малого</w:t>
      </w:r>
    </w:p>
    <w:p>
      <w:pPr>
        <w:pStyle w:val="Style24"/>
        <w:widowControl w:val="0"/>
        <w:keepNext w:val="0"/>
        <w:keepLines w:val="0"/>
        <w:shd w:val="clear" w:color="auto" w:fill="auto"/>
        <w:bidi w:val="0"/>
        <w:jc w:val="both"/>
        <w:spacing w:before="0" w:after="0"/>
        <w:ind w:left="40" w:right="40" w:firstLine="0"/>
      </w:pPr>
      <w:r>
        <w:rPr>
          <w:lang w:val="ru-RU" w:eastAsia="ru-RU" w:bidi="ru-RU"/>
          <w:sz w:val="24"/>
          <w:szCs w:val="24"/>
          <w:w w:val="100"/>
          <w:spacing w:val="0"/>
          <w:color w:val="000000"/>
          <w:position w:val="0"/>
        </w:rPr>
        <w:t>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pPr>
        <w:pStyle w:val="Style24"/>
        <w:tabs>
          <w:tab w:leader="none" w:pos="2514" w:val="center"/>
          <w:tab w:leader="none" w:pos="3790" w:val="left"/>
          <w:tab w:leader="none" w:pos="7794" w:val="left"/>
        </w:tabs>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В соответствии с частью 6 статьи 30 Закона о контрактной системе в контракты также должно быть включено обязательное условие о гражданско- правовой</w:t>
        <w:tab/>
        <w:t>ответственности</w:t>
        <w:tab/>
        <w:t>поставщиков (подрядчиков,</w:t>
        <w:tab/>
        <w:t>исполнителей) за</w:t>
      </w:r>
    </w:p>
    <w:p>
      <w:pPr>
        <w:pStyle w:val="Style24"/>
        <w:widowControl w:val="0"/>
        <w:keepNext w:val="0"/>
        <w:keepLines w:val="0"/>
        <w:shd w:val="clear" w:color="auto" w:fill="auto"/>
        <w:bidi w:val="0"/>
        <w:jc w:val="both"/>
        <w:spacing w:before="0" w:after="0"/>
        <w:ind w:left="40" w:right="40" w:firstLine="0"/>
      </w:pPr>
      <w:r>
        <w:rPr>
          <w:lang w:val="ru-RU" w:eastAsia="ru-RU" w:bidi="ru-RU"/>
          <w:sz w:val="24"/>
          <w:szCs w:val="24"/>
          <w:w w:val="100"/>
          <w:spacing w:val="0"/>
          <w:color w:val="000000"/>
          <w:position w:val="0"/>
        </w:rPr>
        <w:t>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24"/>
        <w:tabs>
          <w:tab w:leader="none" w:pos="2514" w:val="center"/>
          <w:tab w:leader="none" w:pos="3790" w:val="left"/>
          <w:tab w:leader="none" w:pos="7794" w:val="left"/>
        </w:tabs>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В ходе изучения аукционной документации Комиссия Татарстанского УФАС России установила, что в проекте контракта отсутствует условие о гражданско- правовой</w:t>
        <w:tab/>
        <w:t>ответственности</w:t>
        <w:tab/>
        <w:t>поставщиков (подрядчиков,</w:t>
        <w:tab/>
        <w:t>исполнителей) за</w:t>
      </w:r>
    </w:p>
    <w:p>
      <w:pPr>
        <w:pStyle w:val="Style24"/>
        <w:widowControl w:val="0"/>
        <w:keepNext w:val="0"/>
        <w:keepLines w:val="0"/>
        <w:shd w:val="clear" w:color="auto" w:fill="auto"/>
        <w:bidi w:val="0"/>
        <w:jc w:val="both"/>
        <w:spacing w:before="0" w:after="0"/>
        <w:ind w:left="40" w:right="40" w:firstLine="0"/>
      </w:pPr>
      <w:r>
        <w:rPr>
          <w:lang w:val="ru-RU" w:eastAsia="ru-RU" w:bidi="ru-RU"/>
          <w:sz w:val="24"/>
          <w:szCs w:val="24"/>
          <w:w w:val="100"/>
          <w:spacing w:val="0"/>
          <w:color w:val="000000"/>
          <w:position w:val="0"/>
        </w:rPr>
        <w:t>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w:t>
      </w:r>
    </w:p>
    <w:p>
      <w:pPr>
        <w:pStyle w:val="Style24"/>
        <w:widowControl w:val="0"/>
        <w:keepNext w:val="0"/>
        <w:keepLines w:val="0"/>
        <w:shd w:val="clear" w:color="auto" w:fill="auto"/>
        <w:bidi w:val="0"/>
        <w:jc w:val="both"/>
        <w:spacing w:before="0" w:after="0"/>
        <w:ind w:left="40" w:right="40" w:firstLine="720"/>
      </w:pPr>
      <w:r>
        <w:rPr>
          <w:lang w:val="ru-RU" w:eastAsia="ru-RU" w:bidi="ru-RU"/>
          <w:sz w:val="24"/>
          <w:szCs w:val="24"/>
          <w:w w:val="100"/>
          <w:spacing w:val="0"/>
          <w:color w:val="000000"/>
          <w:position w:val="0"/>
        </w:rPr>
        <w:t xml:space="preserve">Следовательно, довод заявителя является обоснованным и заказчиком нарушены требования части 6 статьи 30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w:t>
      </w:r>
    </w:p>
    <w:p>
      <w:pPr>
        <w:pStyle w:val="Style24"/>
        <w:numPr>
          <w:ilvl w:val="1"/>
          <w:numId w:val="3"/>
        </w:numPr>
        <w:tabs>
          <w:tab w:leader="none" w:pos="1461" w:val="left"/>
        </w:tabs>
        <w:widowControl w:val="0"/>
        <w:keepNext w:val="0"/>
        <w:keepLines w:val="0"/>
        <w:shd w:val="clear" w:color="auto" w:fill="auto"/>
        <w:bidi w:val="0"/>
        <w:jc w:val="both"/>
        <w:spacing w:before="0" w:after="0"/>
        <w:ind w:left="40" w:right="0" w:firstLine="720"/>
      </w:pPr>
      <w:r>
        <w:rPr>
          <w:lang w:val="ru-RU" w:eastAsia="ru-RU" w:bidi="ru-RU"/>
          <w:sz w:val="24"/>
          <w:szCs w:val="24"/>
          <w:w w:val="100"/>
          <w:spacing w:val="0"/>
          <w:color w:val="000000"/>
          <w:position w:val="0"/>
        </w:rPr>
        <w:t>Относительно довода об отсутствии проектной документации.</w:t>
      </w:r>
    </w:p>
    <w:p>
      <w:pPr>
        <w:pStyle w:val="Style24"/>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настоящего Закона о контрактной системе, в том числе обоснование начальной (максимальной) цены контракта.</w:t>
      </w:r>
    </w:p>
    <w:p>
      <w:pPr>
        <w:pStyle w:val="Style24"/>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Пунктом 1 статьи 740 ГК РФ 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иные строительные работы, а заказчик — создать подрядчику необходимые условия для выполнения работ, принять их результат и уплатить обусловленную цену.</w:t>
      </w:r>
    </w:p>
    <w:p>
      <w:pPr>
        <w:pStyle w:val="Style24"/>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Согласно статье 754 ГК РФ техническая документация также отражает требования к результату строительно-монтажных работ. В соответствии с указанной статьей подрядчик несет ответственность перед заказчиком за допущенные отступления от требований, предусмотренных в технической документации и в обязательных для сторон строительных нормах и правилах, а также за не достижение указанных в технической документации показателей объекта строительства.</w:t>
      </w:r>
    </w:p>
    <w:p>
      <w:pPr>
        <w:pStyle w:val="Style24"/>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Пунктом 3 Положения о составе разделов проектной документации и требованиях к их содержанию, утв. Постановлением Правительства РФ от 16 февраля 2008 г. № 87, установлено, что проектная документация состоит из текстовой и графической частей. Текстовая часть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 Графическая часть отображает принятые технические и иные решения и выполняется в виде чертежей, схем, планов и других документов в графической форме.</w:t>
      </w:r>
    </w:p>
    <w:p>
      <w:pPr>
        <w:pStyle w:val="Style24"/>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Из анализа положений статьи 64 Закона о контрактной системе, пункта 3 Положения о составе разделов проектной документации, пункта 1 ст. 740 ГК РФ в их совокупности следует, что проектная документация не является составной частью конкурсной (аукционной) документации. Предоставление такой документации относится к сфере исполнения государственного контракта и ее не размещение заказчиком на официальном сайте не является нарушением Закона о контрактной систем.</w:t>
      </w:r>
    </w:p>
    <w:p>
      <w:pPr>
        <w:pStyle w:val="Style39"/>
        <w:widowControl w:val="0"/>
        <w:keepNext w:val="0"/>
        <w:keepLines w:val="0"/>
        <w:shd w:val="clear" w:color="auto" w:fill="auto"/>
        <w:bidi w:val="0"/>
        <w:spacing w:before="0" w:after="0"/>
        <w:ind w:left="40" w:right="40"/>
      </w:pPr>
      <w:r>
        <w:rPr>
          <w:lang w:val="ru-RU" w:eastAsia="ru-RU" w:bidi="ru-RU"/>
          <w:sz w:val="24"/>
          <w:szCs w:val="24"/>
          <w:w w:val="100"/>
          <w:spacing w:val="0"/>
          <w:color w:val="000000"/>
          <w:position w:val="0"/>
        </w:rPr>
        <w:t xml:space="preserve">Вышеизложенная позиция соответствует сложившейся судебной практике по спорам, когда предметом открытого аукциона является заключение государственного контракта на выполнение работ по капитальному ремонту. Анализ судебной практики по вопросу необходимости включения в состав пакета документации о торгах проектной документации позволяет сделать однозначный вывод: отсутствие в составе документации о торгах проектной документации по объекту капитального ремонта не является ограничением конкуренции, в том числе в связи с тем, что участники торгов находятся в равных условиях. (Постановления ФАС Московского </w:t>
      </w:r>
      <w:r>
        <w:rPr>
          <w:rStyle w:val="CharStyle41"/>
        </w:rPr>
        <w:t xml:space="preserve">округа от </w:t>
      </w:r>
      <w:r>
        <w:rPr>
          <w:lang w:val="ru-RU" w:eastAsia="ru-RU" w:bidi="ru-RU"/>
          <w:sz w:val="24"/>
          <w:szCs w:val="24"/>
          <w:w w:val="100"/>
          <w:spacing w:val="0"/>
          <w:color w:val="000000"/>
          <w:position w:val="0"/>
        </w:rPr>
        <w:t xml:space="preserve">13 </w:t>
      </w:r>
      <w:r>
        <w:rPr>
          <w:rStyle w:val="CharStyle41"/>
        </w:rPr>
        <w:t xml:space="preserve">мая </w:t>
      </w:r>
      <w:r>
        <w:rPr>
          <w:lang w:val="ru-RU" w:eastAsia="ru-RU" w:bidi="ru-RU"/>
          <w:sz w:val="24"/>
          <w:szCs w:val="24"/>
          <w:w w:val="100"/>
          <w:spacing w:val="0"/>
          <w:color w:val="000000"/>
          <w:position w:val="0"/>
        </w:rPr>
        <w:t xml:space="preserve">2013 г. по </w:t>
      </w:r>
      <w:r>
        <w:rPr>
          <w:rStyle w:val="CharStyle41"/>
        </w:rPr>
        <w:t xml:space="preserve">делу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А40-93076/12-93-920, от 6 </w:t>
      </w:r>
      <w:r>
        <w:rPr>
          <w:rStyle w:val="CharStyle41"/>
        </w:rPr>
        <w:t xml:space="preserve">декабря </w:t>
      </w:r>
      <w:r>
        <w:rPr>
          <w:lang w:val="ru-RU" w:eastAsia="ru-RU" w:bidi="ru-RU"/>
          <w:sz w:val="24"/>
          <w:szCs w:val="24"/>
          <w:w w:val="100"/>
          <w:spacing w:val="0"/>
          <w:color w:val="000000"/>
          <w:position w:val="0"/>
        </w:rPr>
        <w:t>2012 г. по делу</w:t>
      </w:r>
    </w:p>
    <w:p>
      <w:pPr>
        <w:pStyle w:val="Style24"/>
        <w:widowControl w:val="0"/>
        <w:keepNext w:val="0"/>
        <w:keepLines w:val="0"/>
        <w:shd w:val="clear" w:color="auto" w:fill="auto"/>
        <w:bidi w:val="0"/>
        <w:jc w:val="both"/>
        <w:spacing w:before="0" w:after="0"/>
        <w:ind w:left="40" w:right="40" w:firstLine="0"/>
      </w:pP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А40-125277/11- 92-1097, Девятого арбитражного апелляционного суда от 13 августа 2014 г. по делу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А40-181402/13, от 26 мая 2014 г. по делу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А40-181385/13, от 20 августа 2013 г. по делу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А40-138375/12-130-1339).</w:t>
      </w:r>
    </w:p>
    <w:p>
      <w:pPr>
        <w:pStyle w:val="Style24"/>
        <w:tabs>
          <w:tab w:leader="none" w:pos="1347" w:val="left"/>
          <w:tab w:leader="none" w:pos="3171" w:val="left"/>
        </w:tabs>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В состав документации об аукционе в электронной форме на право заключения муниципального контракта на выполнение работ Капитальный ремонт улиц Новая, С.Шарипова, З.Мазитова в н. п.Айманово, а также Капитальный ремонт улицы Центральная в н.п. Кулуново Актанышского муниципального района включено</w:t>
        <w:tab/>
        <w:t>техническое</w:t>
        <w:tab/>
        <w:t>задание и локально-ресурсный сметный расчет на</w:t>
      </w:r>
    </w:p>
    <w:p>
      <w:pPr>
        <w:pStyle w:val="Style24"/>
        <w:widowControl w:val="0"/>
        <w:keepNext w:val="0"/>
        <w:keepLines w:val="0"/>
        <w:shd w:val="clear" w:color="auto" w:fill="auto"/>
        <w:bidi w:val="0"/>
        <w:jc w:val="both"/>
        <w:spacing w:before="0" w:after="0"/>
        <w:ind w:left="40" w:right="0" w:firstLine="0"/>
      </w:pPr>
      <w:r>
        <w:rPr>
          <w:lang w:val="ru-RU" w:eastAsia="ru-RU" w:bidi="ru-RU"/>
          <w:sz w:val="24"/>
          <w:szCs w:val="24"/>
          <w:w w:val="100"/>
          <w:spacing w:val="0"/>
          <w:color w:val="000000"/>
          <w:position w:val="0"/>
        </w:rPr>
        <w:t>выполнение следующих работ:</w:t>
      </w:r>
    </w:p>
    <w:p>
      <w:pPr>
        <w:pStyle w:val="Style24"/>
        <w:numPr>
          <w:ilvl w:val="0"/>
          <w:numId w:val="11"/>
        </w:numPr>
        <w:tabs>
          <w:tab w:leader="none" w:pos="1347" w:val="left"/>
          <w:tab w:leader="none" w:pos="3172" w:val="left"/>
          <w:tab w:leader="none" w:pos="10206" w:val="right"/>
        </w:tabs>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Капитальный</w:t>
        <w:tab/>
        <w:t>ремонт улицы Центральная д. Кулуново</w:t>
        <w:tab/>
        <w:t>СП Айманово</w:t>
      </w:r>
    </w:p>
    <w:p>
      <w:pPr>
        <w:pStyle w:val="Style24"/>
        <w:widowControl w:val="0"/>
        <w:keepNext w:val="0"/>
        <w:keepLines w:val="0"/>
        <w:shd w:val="clear" w:color="auto" w:fill="auto"/>
        <w:bidi w:val="0"/>
        <w:jc w:val="both"/>
        <w:spacing w:before="0" w:after="0"/>
        <w:ind w:left="40" w:right="0" w:firstLine="0"/>
      </w:pPr>
      <w:r>
        <w:rPr>
          <w:lang w:val="ru-RU" w:eastAsia="ru-RU" w:bidi="ru-RU"/>
          <w:sz w:val="24"/>
          <w:szCs w:val="24"/>
          <w:w w:val="100"/>
          <w:spacing w:val="0"/>
          <w:color w:val="000000"/>
          <w:position w:val="0"/>
        </w:rPr>
        <w:t>Актанышского муниципального района РТ;</w:t>
      </w:r>
    </w:p>
    <w:p>
      <w:pPr>
        <w:pStyle w:val="Style24"/>
        <w:numPr>
          <w:ilvl w:val="0"/>
          <w:numId w:val="11"/>
        </w:numPr>
        <w:tabs>
          <w:tab w:leader="none" w:pos="1347" w:val="left"/>
          <w:tab w:leader="none" w:pos="3206" w:val="left"/>
          <w:tab w:leader="none" w:pos="10206" w:val="right"/>
        </w:tabs>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Капитальный</w:t>
        <w:tab/>
        <w:t>ремонт улицы Шарипово СП Айманово</w:t>
        <w:tab/>
        <w:t>Актанышского</w:t>
      </w:r>
    </w:p>
    <w:p>
      <w:pPr>
        <w:pStyle w:val="Style24"/>
        <w:widowControl w:val="0"/>
        <w:keepNext w:val="0"/>
        <w:keepLines w:val="0"/>
        <w:shd w:val="clear" w:color="auto" w:fill="auto"/>
        <w:bidi w:val="0"/>
        <w:jc w:val="both"/>
        <w:spacing w:before="0" w:after="0"/>
        <w:ind w:left="40" w:right="0" w:firstLine="0"/>
      </w:pPr>
      <w:r>
        <w:rPr>
          <w:lang w:val="ru-RU" w:eastAsia="ru-RU" w:bidi="ru-RU"/>
          <w:sz w:val="24"/>
          <w:szCs w:val="24"/>
          <w:w w:val="100"/>
          <w:spacing w:val="0"/>
          <w:color w:val="000000"/>
          <w:position w:val="0"/>
        </w:rPr>
        <w:t>муниципального района РТ;</w:t>
      </w:r>
    </w:p>
    <w:p>
      <w:pPr>
        <w:pStyle w:val="Style24"/>
        <w:numPr>
          <w:ilvl w:val="0"/>
          <w:numId w:val="11"/>
        </w:numPr>
        <w:tabs>
          <w:tab w:leader="none" w:pos="1347" w:val="left"/>
          <w:tab w:leader="none" w:pos="3201" w:val="left"/>
          <w:tab w:leader="none" w:pos="10206" w:val="right"/>
        </w:tabs>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Капитальный</w:t>
        <w:tab/>
        <w:t>ремонт улицы Новая СП Айманово</w:t>
        <w:tab/>
        <w:t>Актанышского</w:t>
      </w:r>
    </w:p>
    <w:p>
      <w:pPr>
        <w:pStyle w:val="Style24"/>
        <w:widowControl w:val="0"/>
        <w:keepNext w:val="0"/>
        <w:keepLines w:val="0"/>
        <w:shd w:val="clear" w:color="auto" w:fill="auto"/>
        <w:bidi w:val="0"/>
        <w:jc w:val="both"/>
        <w:spacing w:before="0" w:after="0"/>
        <w:ind w:left="40" w:right="0" w:firstLine="0"/>
      </w:pPr>
      <w:r>
        <w:rPr>
          <w:lang w:val="ru-RU" w:eastAsia="ru-RU" w:bidi="ru-RU"/>
          <w:sz w:val="24"/>
          <w:szCs w:val="24"/>
          <w:w w:val="100"/>
          <w:spacing w:val="0"/>
          <w:color w:val="000000"/>
          <w:position w:val="0"/>
        </w:rPr>
        <w:t>муниципального района РТ;</w:t>
      </w:r>
    </w:p>
    <w:p>
      <w:pPr>
        <w:pStyle w:val="Style24"/>
        <w:numPr>
          <w:ilvl w:val="0"/>
          <w:numId w:val="11"/>
        </w:numPr>
        <w:tabs>
          <w:tab w:leader="none" w:pos="1347" w:val="left"/>
          <w:tab w:leader="none" w:pos="3206" w:val="left"/>
          <w:tab w:leader="none" w:pos="10206" w:val="right"/>
        </w:tabs>
        <w:widowControl w:val="0"/>
        <w:keepNext w:val="0"/>
        <w:keepLines w:val="0"/>
        <w:shd w:val="clear" w:color="auto" w:fill="auto"/>
        <w:bidi w:val="0"/>
        <w:jc w:val="both"/>
        <w:spacing w:before="0" w:after="0"/>
        <w:ind w:left="40" w:right="0" w:firstLine="700"/>
      </w:pPr>
      <w:r>
        <w:rPr>
          <w:lang w:val="ru-RU" w:eastAsia="ru-RU" w:bidi="ru-RU"/>
          <w:sz w:val="24"/>
          <w:szCs w:val="24"/>
          <w:w w:val="100"/>
          <w:spacing w:val="0"/>
          <w:color w:val="000000"/>
          <w:position w:val="0"/>
        </w:rPr>
        <w:t>Капитальный</w:t>
        <w:tab/>
        <w:t>ремонт улицы Мазитово СП Айманово</w:t>
        <w:tab/>
        <w:t>Актанышского</w:t>
      </w:r>
    </w:p>
    <w:p>
      <w:pPr>
        <w:pStyle w:val="Style24"/>
        <w:widowControl w:val="0"/>
        <w:keepNext w:val="0"/>
        <w:keepLines w:val="0"/>
        <w:shd w:val="clear" w:color="auto" w:fill="auto"/>
        <w:bidi w:val="0"/>
        <w:jc w:val="both"/>
        <w:spacing w:before="0" w:after="0"/>
        <w:ind w:left="40" w:right="0" w:firstLine="0"/>
      </w:pPr>
      <w:r>
        <w:rPr>
          <w:lang w:val="ru-RU" w:eastAsia="ru-RU" w:bidi="ru-RU"/>
          <w:sz w:val="24"/>
          <w:szCs w:val="24"/>
          <w:w w:val="100"/>
          <w:spacing w:val="0"/>
          <w:color w:val="000000"/>
          <w:position w:val="0"/>
        </w:rPr>
        <w:t>муниципального района РТ.</w:t>
      </w:r>
    </w:p>
    <w:p>
      <w:pPr>
        <w:pStyle w:val="Style24"/>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Таким образом, Комиссия Татарстанского УФАС России приходит к выводу, что довод заявителя является необоснованным.</w:t>
      </w:r>
    </w:p>
    <w:p>
      <w:pPr>
        <w:pStyle w:val="Style24"/>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Так как заказчиком заключен контракт на выполнение капитального ремонта улиц Новая, С.Шарипова, З.Мазитова в н. п.Айманово, а также капитального ремонта улицы Центральная в н.п. Кулуново Актанышского муниципального района предписание об устранении выявленных нарушений не выдавать.</w:t>
      </w:r>
    </w:p>
    <w:p>
      <w:pPr>
        <w:pStyle w:val="Style24"/>
        <w:widowControl w:val="0"/>
        <w:keepNext w:val="0"/>
        <w:keepLines w:val="0"/>
        <w:shd w:val="clear" w:color="auto" w:fill="auto"/>
        <w:bidi w:val="0"/>
        <w:jc w:val="both"/>
        <w:spacing w:before="0" w:after="302"/>
        <w:ind w:left="40" w:right="40" w:firstLine="700"/>
      </w:pPr>
      <w:r>
        <w:rPr>
          <w:lang w:val="ru-RU" w:eastAsia="ru-RU" w:bidi="ru-RU"/>
          <w:sz w:val="24"/>
          <w:szCs w:val="24"/>
          <w:w w:val="100"/>
          <w:spacing w:val="0"/>
          <w:color w:val="000000"/>
          <w:position w:val="0"/>
        </w:rPr>
        <w:t xml:space="preserve">Исходя из вышеуказанного, руководствуясь пунктом 2 части 22 статьи 99, частью 8 статьи 106 Федерального закона от 05.04.2013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44-ФЗ «О контрактной системе в сфере закупок товаров, работ, услуг для обеспечения государственных и муниципальных нужд», Комиссия</w:t>
      </w:r>
    </w:p>
    <w:p>
      <w:pPr>
        <w:pStyle w:val="Style24"/>
        <w:widowControl w:val="0"/>
        <w:keepNext w:val="0"/>
        <w:keepLines w:val="0"/>
        <w:shd w:val="clear" w:color="auto" w:fill="auto"/>
        <w:bidi w:val="0"/>
        <w:jc w:val="left"/>
        <w:spacing w:before="0" w:after="311" w:line="240" w:lineRule="exact"/>
        <w:ind w:left="4700" w:right="0" w:firstLine="0"/>
      </w:pPr>
      <w:r>
        <w:rPr>
          <w:rStyle w:val="CharStyle28"/>
        </w:rPr>
        <w:t>РЕШИЛА:</w:t>
      </w:r>
    </w:p>
    <w:p>
      <w:pPr>
        <w:pStyle w:val="Style24"/>
        <w:numPr>
          <w:ilvl w:val="0"/>
          <w:numId w:val="13"/>
        </w:numPr>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 Признать жалобу ООО «Новострой» на действия уполномоченного органа - Исполнительный комитет Актанышского муниципального района, заказчика - Староаймановский сельский исполнительный комитет при проведении электронного аукциона № 0111300030917000168 на предмет: «Капитальный ремонт улиц Новая, С.Шарипова, З.Мазитова в н.п. Айманово, а также Капитальный ремонт Центральная в н.п. Кулуново Актанышского муниципального района», обоснованной.</w:t>
      </w:r>
    </w:p>
    <w:p>
      <w:pPr>
        <w:pStyle w:val="Style24"/>
        <w:numPr>
          <w:ilvl w:val="0"/>
          <w:numId w:val="13"/>
        </w:numPr>
        <w:widowControl w:val="0"/>
        <w:keepNext w:val="0"/>
        <w:keepLines w:val="0"/>
        <w:shd w:val="clear" w:color="auto" w:fill="auto"/>
        <w:bidi w:val="0"/>
        <w:jc w:val="both"/>
        <w:spacing w:before="0" w:after="0"/>
        <w:ind w:left="40" w:right="40" w:firstLine="700"/>
      </w:pPr>
      <w:r>
        <w:rPr>
          <w:lang w:val="ru-RU" w:eastAsia="ru-RU" w:bidi="ru-RU"/>
          <w:sz w:val="24"/>
          <w:szCs w:val="24"/>
          <w:w w:val="100"/>
          <w:spacing w:val="0"/>
          <w:color w:val="000000"/>
          <w:position w:val="0"/>
        </w:rPr>
        <w:t xml:space="preserve"> Признать жалобу ООО «Перспектива» на действия уполномоченного органа - Исполнительный комитет Актанышского муниципального района, заказчика - Староаймановский сельский исполнительный комитет при проведении электронного аукциона № 0111300030917000168 на предмет: «Капитальный ремонт улиц Новая, С.Шарипова, З.Мазитова в н.п. Айманово, а также Капитальный ремонт Центральная в н.п. Кулуново Актанышского муниципального района», частично обоснованной.</w:t>
      </w:r>
      <w:r>
        <w:br w:type="page"/>
      </w:r>
    </w:p>
    <w:p>
      <w:pPr>
        <w:pStyle w:val="Style24"/>
        <w:numPr>
          <w:ilvl w:val="0"/>
          <w:numId w:val="13"/>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Признать заказчика - Исполнительный комитет Актанышского муниципального района нарушившим требования части 6 статьи 30 и пункта 2 части 1 статьи 64 Федерального закона от 05.04.2013г. № 44-ФЗ «О контрактной системе в сфере закупок товаров, работ, услуг для обеспечения государственных и муниципальных нужд».</w:t>
      </w:r>
    </w:p>
    <w:p>
      <w:pPr>
        <w:pStyle w:val="Style24"/>
        <w:numPr>
          <w:ilvl w:val="0"/>
          <w:numId w:val="13"/>
        </w:numPr>
        <w:widowControl w:val="0"/>
        <w:keepNext w:val="0"/>
        <w:keepLines w:val="0"/>
        <w:shd w:val="clear" w:color="auto" w:fill="auto"/>
        <w:bidi w:val="0"/>
        <w:jc w:val="both"/>
        <w:spacing w:before="0" w:after="0"/>
        <w:ind w:left="20" w:right="20" w:firstLine="700"/>
      </w:pPr>
      <w:r>
        <w:rPr>
          <w:lang w:val="ru-RU" w:eastAsia="ru-RU" w:bidi="ru-RU"/>
          <w:sz w:val="24"/>
          <w:szCs w:val="24"/>
          <w:w w:val="100"/>
          <w:spacing w:val="0"/>
          <w:color w:val="000000"/>
          <w:position w:val="0"/>
        </w:rPr>
        <w:t xml:space="preserve"> 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 допустивших нарушение норм законодательства Российской Федерации о контрактной системе.</w:t>
      </w:r>
    </w:p>
    <w:p>
      <w:pPr>
        <w:pStyle w:val="Style24"/>
        <w:widowControl w:val="0"/>
        <w:keepNext w:val="0"/>
        <w:keepLines w:val="0"/>
        <w:shd w:val="clear" w:color="auto" w:fill="auto"/>
        <w:bidi w:val="0"/>
        <w:jc w:val="both"/>
        <w:spacing w:before="0" w:after="662"/>
        <w:ind w:left="20" w:right="20" w:firstLine="700"/>
      </w:pPr>
      <w:r>
        <w:rPr>
          <w:lang w:val="ru-RU" w:eastAsia="ru-RU" w:bidi="ru-RU"/>
          <w:sz w:val="24"/>
          <w:szCs w:val="24"/>
          <w:w w:val="100"/>
          <w:spacing w:val="0"/>
          <w:color w:val="000000"/>
          <w:position w:val="0"/>
        </w:rPr>
        <w:t>Решение Комиссии может быть обжаловано в судебном порядке в течение трех месяцев со дня его принятия.</w:t>
      </w:r>
    </w:p>
    <w:p>
      <w:pPr>
        <w:pStyle w:val="Style24"/>
        <w:framePr w:h="250" w:wrap="around" w:vAnchor="text" w:hAnchor="margin" w:x="8594" w:y="20"/>
        <w:widowControl w:val="0"/>
        <w:keepNext w:val="0"/>
        <w:keepLines w:val="0"/>
        <w:shd w:val="clear" w:color="auto" w:fill="auto"/>
        <w:bidi w:val="0"/>
        <w:jc w:val="left"/>
        <w:spacing w:before="0" w:after="0" w:line="240" w:lineRule="exact"/>
        <w:ind w:left="100" w:right="0" w:firstLine="0"/>
      </w:pPr>
      <w:r>
        <w:rPr>
          <w:rStyle w:val="CharStyle26"/>
          <w:spacing w:val="0"/>
        </w:rPr>
        <w:t>А.А. Яфизов</w:t>
      </w:r>
    </w:p>
    <w:p>
      <w:pPr>
        <w:pStyle w:val="Style24"/>
        <w:widowControl w:val="0"/>
        <w:keepNext w:val="0"/>
        <w:keepLines w:val="0"/>
        <w:shd w:val="clear" w:color="auto" w:fill="auto"/>
        <w:bidi w:val="0"/>
        <w:jc w:val="left"/>
        <w:spacing w:before="0" w:after="677" w:line="240" w:lineRule="exact"/>
        <w:ind w:left="20" w:right="0" w:firstLine="0"/>
      </w:pPr>
      <w:r>
        <w:rPr>
          <w:lang w:val="ru-RU" w:eastAsia="ru-RU" w:bidi="ru-RU"/>
          <w:sz w:val="24"/>
          <w:szCs w:val="24"/>
          <w:w w:val="100"/>
          <w:spacing w:val="0"/>
          <w:color w:val="000000"/>
          <w:position w:val="0"/>
        </w:rPr>
        <w:t>Зам. председателя Комиссии</w:t>
      </w:r>
    </w:p>
    <w:p>
      <w:pPr>
        <w:pStyle w:val="Style24"/>
        <w:framePr w:h="250" w:wrap="around" w:vAnchor="text" w:hAnchor="margin" w:x="8517" w:y="25"/>
        <w:widowControl w:val="0"/>
        <w:keepNext w:val="0"/>
        <w:keepLines w:val="0"/>
        <w:shd w:val="clear" w:color="auto" w:fill="auto"/>
        <w:bidi w:val="0"/>
        <w:jc w:val="left"/>
        <w:spacing w:before="0" w:after="0" w:line="240" w:lineRule="exact"/>
        <w:ind w:left="100" w:right="0" w:firstLine="0"/>
      </w:pPr>
      <w:r>
        <w:rPr>
          <w:rStyle w:val="CharStyle26"/>
          <w:spacing w:val="0"/>
        </w:rPr>
        <w:t>В.Р. Амирова</w:t>
      </w:r>
    </w:p>
    <w:p>
      <w:pPr>
        <w:pStyle w:val="Style24"/>
        <w:framePr w:h="250" w:wrap="notBeside" w:vAnchor="text" w:hAnchor="margin" w:x="8503" w:y="985"/>
        <w:widowControl w:val="0"/>
        <w:keepNext w:val="0"/>
        <w:keepLines w:val="0"/>
        <w:shd w:val="clear" w:color="auto" w:fill="auto"/>
        <w:bidi w:val="0"/>
        <w:jc w:val="left"/>
        <w:spacing w:before="0" w:after="0" w:line="240" w:lineRule="exact"/>
        <w:ind w:left="100" w:right="0" w:firstLine="0"/>
      </w:pPr>
      <w:r>
        <w:rPr>
          <w:rStyle w:val="CharStyle26"/>
          <w:spacing w:val="0"/>
        </w:rPr>
        <w:t>А.Р.Закирова</w:t>
      </w:r>
    </w:p>
    <w:p>
      <w:pPr>
        <w:pStyle w:val="Style24"/>
        <w:widowControl w:val="0"/>
        <w:keepNext w:val="0"/>
        <w:keepLines w:val="0"/>
        <w:shd w:val="clear" w:color="auto" w:fill="auto"/>
        <w:bidi w:val="0"/>
        <w:jc w:val="left"/>
        <w:spacing w:before="0" w:after="6476" w:line="240" w:lineRule="exact"/>
        <w:ind w:left="20" w:right="0" w:firstLine="0"/>
      </w:pPr>
      <w:r>
        <w:rPr>
          <w:lang w:val="ru-RU" w:eastAsia="ru-RU" w:bidi="ru-RU"/>
          <w:sz w:val="24"/>
          <w:szCs w:val="24"/>
          <w:w w:val="100"/>
          <w:spacing w:val="0"/>
          <w:color w:val="000000"/>
          <w:position w:val="0"/>
        </w:rPr>
        <w:t>Члены Комиссии</w:t>
      </w:r>
    </w:p>
    <w:p>
      <w:pPr>
        <w:pStyle w:val="Style42"/>
        <w:widowControl w:val="0"/>
        <w:keepNext w:val="0"/>
        <w:keepLines w:val="0"/>
        <w:shd w:val="clear" w:color="auto" w:fill="auto"/>
        <w:bidi w:val="0"/>
        <w:jc w:val="left"/>
        <w:spacing w:before="0" w:after="0"/>
        <w:ind w:left="20" w:right="1760" w:firstLine="0"/>
      </w:pPr>
      <w:r>
        <w:rPr>
          <w:lang w:val="ru-RU" w:eastAsia="ru-RU" w:bidi="ru-RU"/>
          <w:w w:val="100"/>
          <w:spacing w:val="0"/>
          <w:color w:val="000000"/>
          <w:position w:val="0"/>
        </w:rPr>
        <w:t xml:space="preserve">Амирова Венера Ришатовна </w:t>
      </w:r>
      <w:r>
        <w:rPr>
          <w:rStyle w:val="CharStyle44"/>
        </w:rPr>
        <w:t>(</w:t>
      </w:r>
      <w:r>
        <w:rPr>
          <w:rStyle w:val="CharStyle45"/>
        </w:rPr>
        <w:t>843</w:t>
      </w:r>
      <w:r>
        <w:rPr>
          <w:rStyle w:val="CharStyle44"/>
        </w:rPr>
        <w:t xml:space="preserve">) </w:t>
      </w:r>
      <w:r>
        <w:rPr>
          <w:rStyle w:val="CharStyle45"/>
        </w:rPr>
        <w:t>238</w:t>
      </w:r>
      <w:r>
        <w:rPr>
          <w:rStyle w:val="CharStyle44"/>
        </w:rPr>
        <w:t>-</w:t>
      </w:r>
      <w:r>
        <w:rPr>
          <w:rStyle w:val="CharStyle45"/>
        </w:rPr>
        <w:t>24-86</w:t>
      </w:r>
    </w:p>
    <w:sectPr>
      <w:type w:val="continuous"/>
      <w:pgSz w:w="11906" w:h="16838"/>
      <w:pgMar w:top="913" w:left="836" w:right="798" w:bottom="669"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2"/>
      <w:szCs w:val="22"/>
      <w:rFonts w:ascii="Times New Roman" w:eastAsia="Times New Roman" w:hAnsi="Times New Roman" w:cs="Times New Roman"/>
      <w:spacing w:val="20"/>
    </w:rPr>
  </w:style>
  <w:style w:type="character" w:customStyle="1" w:styleId="CharStyle5">
    <w:name w:val="Основной текст (2)"/>
    <w:basedOn w:val="CharStyle4"/>
    <w:rPr>
      <w:lang w:val="ru-RU" w:eastAsia="ru-RU" w:bidi="ru-RU"/>
      <w:w w:val="100"/>
      <w:color w:val="000000"/>
      <w:position w:val="0"/>
    </w:rPr>
  </w:style>
  <w:style w:type="character" w:customStyle="1" w:styleId="CharStyle7">
    <w:name w:val="Основной текст (3)_"/>
    <w:basedOn w:val="DefaultParagraphFont"/>
    <w:link w:val="Style6"/>
    <w:rPr>
      <w:b w:val="0"/>
      <w:bCs w:val="0"/>
      <w:i w:val="0"/>
      <w:iCs w:val="0"/>
      <w:u w:val="none"/>
      <w:strike w:val="0"/>
      <w:smallCaps w:val="0"/>
      <w:sz w:val="22"/>
      <w:szCs w:val="22"/>
      <w:rFonts w:ascii="Times New Roman" w:eastAsia="Times New Roman" w:hAnsi="Times New Roman" w:cs="Times New Roman"/>
      <w:spacing w:val="20"/>
    </w:rPr>
  </w:style>
  <w:style w:type="character" w:customStyle="1" w:styleId="CharStyle8">
    <w:name w:val="Основной текст (3)"/>
    <w:basedOn w:val="CharStyle7"/>
    <w:rPr>
      <w:lang w:val="ru-RU" w:eastAsia="ru-RU" w:bidi="ru-RU"/>
      <w:w w:val="100"/>
      <w:color w:val="000000"/>
      <w:position w:val="0"/>
    </w:rPr>
  </w:style>
  <w:style w:type="character" w:customStyle="1" w:styleId="CharStyle10">
    <w:name w:val="Основной текст (4)_"/>
    <w:basedOn w:val="DefaultParagraphFont"/>
    <w:link w:val="Style9"/>
    <w:rPr>
      <w:b w:val="0"/>
      <w:bCs w:val="0"/>
      <w:i w:val="0"/>
      <w:iCs w:val="0"/>
      <w:u w:val="none"/>
      <w:strike w:val="0"/>
      <w:smallCaps w:val="0"/>
      <w:sz w:val="14"/>
      <w:szCs w:val="14"/>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4)"/>
    <w:basedOn w:val="CharStyle10"/>
    <w:rPr>
      <w:lang w:val="ru-RU" w:eastAsia="ru-RU" w:bidi="ru-RU"/>
      <w:w w:val="100"/>
      <w:spacing w:val="0"/>
      <w:color w:val="000000"/>
      <w:position w:val="0"/>
    </w:rPr>
  </w:style>
  <w:style w:type="character" w:customStyle="1" w:styleId="CharStyle14">
    <w:name w:val="Заголовок №1_"/>
    <w:basedOn w:val="DefaultParagraphFont"/>
    <w:link w:val="Style13"/>
    <w:rPr>
      <w:b w:val="0"/>
      <w:bCs w:val="0"/>
      <w:i/>
      <w:iCs/>
      <w:u w:val="none"/>
      <w:strike w:val="0"/>
      <w:smallCaps w:val="0"/>
      <w:sz w:val="30"/>
      <w:szCs w:val="30"/>
      <w:rFonts w:ascii="Times New Roman" w:eastAsia="Times New Roman" w:hAnsi="Times New Roman" w:cs="Times New Roman"/>
      <w:spacing w:val="-10"/>
    </w:rPr>
  </w:style>
  <w:style w:type="character" w:customStyle="1" w:styleId="CharStyle15">
    <w:name w:val="Заголовок №1"/>
    <w:basedOn w:val="CharStyle14"/>
    <w:rPr>
      <w:lang w:val="en-US" w:eastAsia="en-US" w:bidi="en-US"/>
      <w:w w:val="100"/>
      <w:color w:val="000000"/>
      <w:position w:val="0"/>
    </w:rPr>
  </w:style>
  <w:style w:type="character" w:customStyle="1" w:styleId="CharStyle16">
    <w:name w:val="Заголовок №1"/>
    <w:basedOn w:val="CharStyle14"/>
    <w:rPr>
      <w:lang w:val="ru-RU" w:eastAsia="ru-RU" w:bidi="ru-RU"/>
      <w:u w:val="single"/>
      <w:w w:val="100"/>
      <w:color w:val="000000"/>
      <w:position w:val="0"/>
    </w:rPr>
  </w:style>
  <w:style w:type="character" w:customStyle="1" w:styleId="CharStyle17">
    <w:name w:val="Заголовок №1 + Corbel,11 pt,Не курсив,Интервал 0 pt"/>
    <w:basedOn w:val="CharStyle14"/>
    <w:rPr>
      <w:lang w:val="ru-RU" w:eastAsia="ru-RU" w:bidi="ru-RU"/>
      <w:i/>
      <w:iCs/>
      <w:u w:val="single"/>
      <w:sz w:val="22"/>
      <w:szCs w:val="22"/>
      <w:rFonts w:ascii="Corbel" w:eastAsia="Corbel" w:hAnsi="Corbel" w:cs="Corbel"/>
      <w:w w:val="100"/>
      <w:spacing w:val="0"/>
      <w:color w:val="000000"/>
      <w:position w:val="0"/>
    </w:rPr>
  </w:style>
  <w:style w:type="character" w:customStyle="1" w:styleId="CharStyle18">
    <w:name w:val="Заголовок №1"/>
    <w:basedOn w:val="CharStyle14"/>
    <w:rPr>
      <w:lang w:val="ru-RU" w:eastAsia="ru-RU" w:bidi="ru-RU"/>
      <w:u w:val="single"/>
      <w:w w:val="100"/>
      <w:color w:val="000000"/>
      <w:position w:val="0"/>
    </w:rPr>
  </w:style>
  <w:style w:type="character" w:customStyle="1" w:styleId="CharStyle19">
    <w:name w:val="Заголовок №1"/>
    <w:basedOn w:val="CharStyle14"/>
    <w:rPr>
      <w:lang w:val="ru-RU" w:eastAsia="ru-RU" w:bidi="ru-RU"/>
      <w:w w:val="10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19"/>
      <w:szCs w:val="19"/>
      <w:rFonts w:ascii="Times New Roman" w:eastAsia="Times New Roman" w:hAnsi="Times New Roman" w:cs="Times New Roman"/>
    </w:rPr>
  </w:style>
  <w:style w:type="character" w:customStyle="1" w:styleId="CharStyle22">
    <w:name w:val="Основной текст (5)"/>
    <w:basedOn w:val="CharStyle21"/>
    <w:rPr>
      <w:lang w:val="ru-RU" w:eastAsia="ru-RU" w:bidi="ru-RU"/>
      <w:w w:val="100"/>
      <w:spacing w:val="0"/>
      <w:color w:val="000000"/>
      <w:position w:val="0"/>
    </w:rPr>
  </w:style>
  <w:style w:type="character" w:customStyle="1" w:styleId="CharStyle23">
    <w:name w:val="Основной текст (5)"/>
    <w:basedOn w:val="CharStyle21"/>
    <w:rPr>
      <w:lang w:val="ru-RU" w:eastAsia="ru-RU" w:bidi="ru-RU"/>
      <w:w w:val="100"/>
      <w:spacing w:val="0"/>
      <w:color w:val="000000"/>
      <w:position w:val="0"/>
    </w:rPr>
  </w:style>
  <w:style w:type="character" w:customStyle="1" w:styleId="CharStyle25">
    <w:name w:val="Основной текст_"/>
    <w:basedOn w:val="DefaultParagraphFont"/>
    <w:link w:val="Style24"/>
    <w:rPr>
      <w:b w:val="0"/>
      <w:bCs w:val="0"/>
      <w:i w:val="0"/>
      <w:iCs w:val="0"/>
      <w:u w:val="none"/>
      <w:strike w:val="0"/>
      <w:smallCaps w:val="0"/>
      <w:rFonts w:ascii="Times New Roman" w:eastAsia="Times New Roman" w:hAnsi="Times New Roman" w:cs="Times New Roman"/>
    </w:rPr>
  </w:style>
  <w:style w:type="character" w:customStyle="1" w:styleId="CharStyle26">
    <w:name w:val="Основной текст Exact"/>
    <w:basedOn w:val="DefaultParagraphFont"/>
    <w:rPr>
      <w:b w:val="0"/>
      <w:bCs w:val="0"/>
      <w:i w:val="0"/>
      <w:iCs w:val="0"/>
      <w:u w:val="none"/>
      <w:strike w:val="0"/>
      <w:smallCaps w:val="0"/>
      <w:rFonts w:ascii="Times New Roman" w:eastAsia="Times New Roman" w:hAnsi="Times New Roman" w:cs="Times New Roman"/>
      <w:spacing w:val="8"/>
    </w:rPr>
  </w:style>
  <w:style w:type="character" w:customStyle="1" w:styleId="CharStyle27">
    <w:name w:val="Основной текст"/>
    <w:basedOn w:val="CharStyle25"/>
    <w:rPr>
      <w:lang w:val="en-US" w:eastAsia="en-US" w:bidi="en-US"/>
      <w:u w:val="single"/>
      <w:sz w:val="24"/>
      <w:szCs w:val="24"/>
      <w:w w:val="100"/>
      <w:spacing w:val="0"/>
      <w:color w:val="000000"/>
      <w:position w:val="0"/>
    </w:rPr>
  </w:style>
  <w:style w:type="character" w:customStyle="1" w:styleId="CharStyle28">
    <w:name w:val="Основной текст + Интервал 3 pt"/>
    <w:basedOn w:val="CharStyle25"/>
    <w:rPr>
      <w:lang w:val="ru-RU" w:eastAsia="ru-RU" w:bidi="ru-RU"/>
      <w:sz w:val="24"/>
      <w:szCs w:val="24"/>
      <w:w w:val="100"/>
      <w:spacing w:val="70"/>
      <w:color w:val="000000"/>
      <w:position w:val="0"/>
    </w:rPr>
  </w:style>
  <w:style w:type="character" w:customStyle="1" w:styleId="CharStyle30">
    <w:name w:val="Основной текст (6)_"/>
    <w:basedOn w:val="DefaultParagraphFont"/>
    <w:link w:val="Style29"/>
    <w:rPr>
      <w:b w:val="0"/>
      <w:bCs w:val="0"/>
      <w:i w:val="0"/>
      <w:iCs w:val="0"/>
      <w:u w:val="none"/>
      <w:strike w:val="0"/>
      <w:smallCaps w:val="0"/>
      <w:sz w:val="26"/>
      <w:szCs w:val="26"/>
      <w:rFonts w:ascii="Times New Roman" w:eastAsia="Times New Roman" w:hAnsi="Times New Roman" w:cs="Times New Roman"/>
      <w:spacing w:val="10"/>
    </w:rPr>
  </w:style>
  <w:style w:type="character" w:customStyle="1" w:styleId="CharStyle32">
    <w:name w:val="Основной текст (7)_"/>
    <w:basedOn w:val="DefaultParagraphFont"/>
    <w:link w:val="Style31"/>
    <w:rPr>
      <w:b w:val="0"/>
      <w:bCs w:val="0"/>
      <w:i w:val="0"/>
      <w:iCs w:val="0"/>
      <w:u w:val="none"/>
      <w:strike w:val="0"/>
      <w:smallCaps w:val="0"/>
      <w:rFonts w:ascii="Times New Roman" w:eastAsia="Times New Roman" w:hAnsi="Times New Roman" w:cs="Times New Roman"/>
    </w:rPr>
  </w:style>
  <w:style w:type="character" w:customStyle="1" w:styleId="CharStyle34">
    <w:name w:val="Основной текст (8)_"/>
    <w:basedOn w:val="DefaultParagraphFont"/>
    <w:link w:val="Style33"/>
    <w:rPr>
      <w:b w:val="0"/>
      <w:bCs w:val="0"/>
      <w:i/>
      <w:iCs/>
      <w:u w:val="none"/>
      <w:strike w:val="0"/>
      <w:smallCaps w:val="0"/>
      <w:sz w:val="26"/>
      <w:szCs w:val="26"/>
      <w:rFonts w:ascii="Times New Roman" w:eastAsia="Times New Roman" w:hAnsi="Times New Roman" w:cs="Times New Roman"/>
    </w:rPr>
  </w:style>
  <w:style w:type="character" w:customStyle="1" w:styleId="CharStyle35">
    <w:name w:val="Основной текст + Полужирный"/>
    <w:basedOn w:val="CharStyle25"/>
    <w:rPr>
      <w:lang w:val="ru-RU" w:eastAsia="ru-RU" w:bidi="ru-RU"/>
      <w:b/>
      <w:bCs/>
      <w:sz w:val="24"/>
      <w:szCs w:val="24"/>
      <w:w w:val="100"/>
      <w:spacing w:val="0"/>
      <w:color w:val="000000"/>
      <w:position w:val="0"/>
    </w:rPr>
  </w:style>
  <w:style w:type="character" w:customStyle="1" w:styleId="CharStyle36">
    <w:name w:val="Основной текст + Corbel,20 pt"/>
    <w:basedOn w:val="CharStyle25"/>
    <w:rPr>
      <w:lang w:val="ru-RU" w:eastAsia="ru-RU" w:bidi="ru-RU"/>
      <w:sz w:val="40"/>
      <w:szCs w:val="40"/>
      <w:rFonts w:ascii="Corbel" w:eastAsia="Corbel" w:hAnsi="Corbel" w:cs="Corbel"/>
      <w:w w:val="100"/>
      <w:spacing w:val="0"/>
      <w:color w:val="000000"/>
      <w:position w:val="0"/>
    </w:rPr>
  </w:style>
  <w:style w:type="character" w:customStyle="1" w:styleId="CharStyle37">
    <w:name w:val="Основной текст"/>
    <w:basedOn w:val="CharStyle25"/>
    <w:rPr>
      <w:lang w:val="ru-RU" w:eastAsia="ru-RU" w:bidi="ru-RU"/>
      <w:sz w:val="24"/>
      <w:szCs w:val="24"/>
      <w:w w:val="100"/>
      <w:spacing w:val="0"/>
      <w:color w:val="000000"/>
      <w:position w:val="0"/>
    </w:rPr>
  </w:style>
  <w:style w:type="character" w:customStyle="1" w:styleId="CharStyle38">
    <w:name w:val="Основной текст (8) + 12 pt,Не курсив"/>
    <w:basedOn w:val="CharStyle34"/>
    <w:rPr>
      <w:lang w:val="ru-RU" w:eastAsia="ru-RU" w:bidi="ru-RU"/>
      <w:i/>
      <w:iCs/>
      <w:sz w:val="24"/>
      <w:szCs w:val="24"/>
      <w:w w:val="100"/>
      <w:spacing w:val="0"/>
      <w:color w:val="000000"/>
      <w:position w:val="0"/>
    </w:rPr>
  </w:style>
  <w:style w:type="character" w:customStyle="1" w:styleId="CharStyle40">
    <w:name w:val="Основной текст (9)_"/>
    <w:basedOn w:val="DefaultParagraphFont"/>
    <w:link w:val="Style39"/>
    <w:rPr>
      <w:b w:val="0"/>
      <w:bCs w:val="0"/>
      <w:i w:val="0"/>
      <w:iCs w:val="0"/>
      <w:u w:val="none"/>
      <w:strike w:val="0"/>
      <w:smallCaps w:val="0"/>
      <w:rFonts w:ascii="Times New Roman" w:eastAsia="Times New Roman" w:hAnsi="Times New Roman" w:cs="Times New Roman"/>
    </w:rPr>
  </w:style>
  <w:style w:type="character" w:customStyle="1" w:styleId="CharStyle41">
    <w:name w:val="Основной текст (9)"/>
    <w:basedOn w:val="CharStyle40"/>
    <w:rPr>
      <w:lang w:val="ru-RU" w:eastAsia="ru-RU" w:bidi="ru-RU"/>
      <w:sz w:val="24"/>
      <w:szCs w:val="24"/>
      <w:w w:val="100"/>
      <w:spacing w:val="0"/>
      <w:color w:val="000000"/>
      <w:position w:val="0"/>
    </w:rPr>
  </w:style>
  <w:style w:type="character" w:customStyle="1" w:styleId="CharStyle43">
    <w:name w:val="Основной текст (10)_"/>
    <w:basedOn w:val="DefaultParagraphFont"/>
    <w:link w:val="Style42"/>
    <w:rPr>
      <w:b w:val="0"/>
      <w:bCs w:val="0"/>
      <w:i w:val="0"/>
      <w:iCs w:val="0"/>
      <w:u w:val="none"/>
      <w:strike w:val="0"/>
      <w:smallCaps w:val="0"/>
      <w:sz w:val="22"/>
      <w:szCs w:val="22"/>
      <w:rFonts w:ascii="Times New Roman" w:eastAsia="Times New Roman" w:hAnsi="Times New Roman" w:cs="Times New Roman"/>
    </w:rPr>
  </w:style>
  <w:style w:type="character" w:customStyle="1" w:styleId="CharStyle44">
    <w:name w:val="Основной текст (10)"/>
    <w:basedOn w:val="CharStyle43"/>
    <w:rPr>
      <w:lang w:val="ru-RU" w:eastAsia="ru-RU" w:bidi="ru-RU"/>
      <w:w w:val="100"/>
      <w:spacing w:val="0"/>
      <w:color w:val="000000"/>
      <w:position w:val="0"/>
    </w:rPr>
  </w:style>
  <w:style w:type="character" w:customStyle="1" w:styleId="CharStyle45">
    <w:name w:val="Основной текст (10)"/>
    <w:basedOn w:val="CharStyle43"/>
    <w:rPr>
      <w:lang w:val="ru-RU" w:eastAsia="ru-RU" w:bidi="ru-RU"/>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4" w:lineRule="exact"/>
    </w:pPr>
    <w:rPr>
      <w:b w:val="0"/>
      <w:bCs w:val="0"/>
      <w:i w:val="0"/>
      <w:iCs w:val="0"/>
      <w:u w:val="none"/>
      <w:strike w:val="0"/>
      <w:smallCaps w:val="0"/>
      <w:sz w:val="22"/>
      <w:szCs w:val="22"/>
      <w:rFonts w:ascii="Times New Roman" w:eastAsia="Times New Roman" w:hAnsi="Times New Roman" w:cs="Times New Roman"/>
      <w:spacing w:val="20"/>
    </w:rPr>
  </w:style>
  <w:style w:type="paragraph" w:customStyle="1" w:styleId="Style6">
    <w:name w:val="Основной текст (3)"/>
    <w:basedOn w:val="Normal"/>
    <w:link w:val="CharStyle7"/>
    <w:pPr>
      <w:widowControl w:val="0"/>
      <w:shd w:val="clear" w:color="auto" w:fill="FFFFFF"/>
      <w:jc w:val="center"/>
      <w:spacing w:before="180" w:after="180" w:line="254" w:lineRule="exact"/>
    </w:pPr>
    <w:rPr>
      <w:b w:val="0"/>
      <w:bCs w:val="0"/>
      <w:i w:val="0"/>
      <w:iCs w:val="0"/>
      <w:u w:val="none"/>
      <w:strike w:val="0"/>
      <w:smallCaps w:val="0"/>
      <w:sz w:val="22"/>
      <w:szCs w:val="22"/>
      <w:rFonts w:ascii="Times New Roman" w:eastAsia="Times New Roman" w:hAnsi="Times New Roman" w:cs="Times New Roman"/>
      <w:spacing w:val="20"/>
    </w:rPr>
  </w:style>
  <w:style w:type="paragraph" w:customStyle="1" w:styleId="Style9">
    <w:name w:val="Основной текст (4)"/>
    <w:basedOn w:val="Normal"/>
    <w:link w:val="CharStyle10"/>
    <w:pPr>
      <w:widowControl w:val="0"/>
      <w:shd w:val="clear" w:color="auto" w:fill="FFFFFF"/>
      <w:jc w:val="center"/>
      <w:spacing w:before="180" w:after="360" w:line="187"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both"/>
      <w:outlineLvl w:val="0"/>
      <w:spacing w:before="360" w:after="480" w:line="0" w:lineRule="exact"/>
    </w:pPr>
    <w:rPr>
      <w:b w:val="0"/>
      <w:bCs w:val="0"/>
      <w:i/>
      <w:iCs/>
      <w:u w:val="none"/>
      <w:strike w:val="0"/>
      <w:smallCaps w:val="0"/>
      <w:sz w:val="30"/>
      <w:szCs w:val="30"/>
      <w:rFonts w:ascii="Times New Roman" w:eastAsia="Times New Roman" w:hAnsi="Times New Roman" w:cs="Times New Roman"/>
      <w:spacing w:val="-10"/>
    </w:rPr>
  </w:style>
  <w:style w:type="paragraph" w:customStyle="1" w:styleId="Style20">
    <w:name w:val="Основной текст (5)"/>
    <w:basedOn w:val="Normal"/>
    <w:link w:val="CharStyle21"/>
    <w:pPr>
      <w:widowControl w:val="0"/>
      <w:shd w:val="clear" w:color="auto" w:fill="FFFFFF"/>
      <w:jc w:val="both"/>
      <w:spacing w:before="48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4">
    <w:name w:val="Основной текст"/>
    <w:basedOn w:val="Normal"/>
    <w:link w:val="CharStyle25"/>
    <w:pPr>
      <w:widowControl w:val="0"/>
      <w:shd w:val="clear" w:color="auto" w:fill="FFFFFF"/>
      <w:spacing w:before="600" w:after="240" w:line="317" w:lineRule="exact"/>
    </w:pPr>
    <w:rPr>
      <w:b w:val="0"/>
      <w:bCs w:val="0"/>
      <w:i w:val="0"/>
      <w:iCs w:val="0"/>
      <w:u w:val="none"/>
      <w:strike w:val="0"/>
      <w:smallCaps w:val="0"/>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317" w:lineRule="exact"/>
      <w:ind w:firstLine="720"/>
    </w:pPr>
    <w:rPr>
      <w:b w:val="0"/>
      <w:bCs w:val="0"/>
      <w:i w:val="0"/>
      <w:iCs w:val="0"/>
      <w:u w:val="none"/>
      <w:strike w:val="0"/>
      <w:smallCaps w:val="0"/>
      <w:sz w:val="26"/>
      <w:szCs w:val="26"/>
      <w:rFonts w:ascii="Times New Roman" w:eastAsia="Times New Roman" w:hAnsi="Times New Roman" w:cs="Times New Roman"/>
      <w:spacing w:val="10"/>
    </w:rPr>
  </w:style>
  <w:style w:type="paragraph" w:customStyle="1" w:styleId="Style31">
    <w:name w:val="Основной текст (7)"/>
    <w:basedOn w:val="Normal"/>
    <w:link w:val="CharStyle32"/>
    <w:pPr>
      <w:widowControl w:val="0"/>
      <w:shd w:val="clear" w:color="auto" w:fill="FFFFFF"/>
      <w:jc w:val="both"/>
      <w:spacing w:line="326"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33">
    <w:name w:val="Основной текст (8)"/>
    <w:basedOn w:val="Normal"/>
    <w:link w:val="CharStyle34"/>
    <w:pPr>
      <w:widowControl w:val="0"/>
      <w:shd w:val="clear" w:color="auto" w:fill="FFFFFF"/>
      <w:jc w:val="both"/>
      <w:spacing w:line="326" w:lineRule="exact"/>
      <w:ind w:firstLine="700"/>
    </w:pPr>
    <w:rPr>
      <w:b w:val="0"/>
      <w:bCs w:val="0"/>
      <w:i/>
      <w:iCs/>
      <w:u w:val="none"/>
      <w:strike w:val="0"/>
      <w:smallCaps w:val="0"/>
      <w:sz w:val="26"/>
      <w:szCs w:val="26"/>
      <w:rFonts w:ascii="Times New Roman" w:eastAsia="Times New Roman" w:hAnsi="Times New Roman" w:cs="Times New Roman"/>
    </w:rPr>
  </w:style>
  <w:style w:type="paragraph" w:customStyle="1" w:styleId="Style39">
    <w:name w:val="Основной текст (9)"/>
    <w:basedOn w:val="Normal"/>
    <w:link w:val="CharStyle40"/>
    <w:pPr>
      <w:widowControl w:val="0"/>
      <w:shd w:val="clear" w:color="auto" w:fill="FFFFFF"/>
      <w:jc w:val="both"/>
      <w:spacing w:line="317" w:lineRule="exact"/>
      <w:ind w:firstLine="700"/>
    </w:pPr>
    <w:rPr>
      <w:b w:val="0"/>
      <w:bCs w:val="0"/>
      <w:i w:val="0"/>
      <w:iCs w:val="0"/>
      <w:u w:val="none"/>
      <w:strike w:val="0"/>
      <w:smallCaps w:val="0"/>
      <w:rFonts w:ascii="Times New Roman" w:eastAsia="Times New Roman" w:hAnsi="Times New Roman" w:cs="Times New Roman"/>
    </w:rPr>
  </w:style>
  <w:style w:type="paragraph" w:customStyle="1" w:styleId="Style42">
    <w:name w:val="Основной текст (10)"/>
    <w:basedOn w:val="Normal"/>
    <w:link w:val="CharStyle43"/>
    <w:pPr>
      <w:widowControl w:val="0"/>
      <w:shd w:val="clear" w:color="auto" w:fill="FFFFFF"/>
      <w:spacing w:before="6600" w:line="293" w:lineRule="exact"/>
    </w:pPr>
    <w:rPr>
      <w:b w:val="0"/>
      <w:bCs w:val="0"/>
      <w:i w:val="0"/>
      <w:iCs w:val="0"/>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