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9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rStyle w:val="CharStyle5"/>
        </w:rPr>
        <w:t>УПРАВЛЕНИЕ Федеральной антимонопольной службы но Республике Татарстан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 w:line="264" w:lineRule="exact"/>
        <w:ind w:left="0" w:right="0" w:firstLine="0"/>
      </w:pPr>
      <w:r>
        <w:rPr>
          <w:rStyle w:val="CharStyle5"/>
        </w:rPr>
        <w:t>МОНОПОЛИЯГО КАРШЫ ФЕДЕРАЛЬ ХЕЗМЭТ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140" w:right="120" w:firstLine="2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3" w:left="1098" w:right="1799" w:bottom="403" w:header="0" w:footer="3" w:gutter="0"/>
          <w:rtlGutter w:val="0"/>
          <w:cols w:num="2" w:space="720" w:equalWidth="0">
            <w:col w:w="3869" w:space="2117"/>
            <w:col w:w="3024"/>
          </w:cols>
          <w:noEndnote/>
          <w:docGrid w:linePitch="360"/>
        </w:sectPr>
      </w:pPr>
      <w:r>
        <w:rPr>
          <w:rStyle w:val="CharStyle5"/>
        </w:rPr>
        <w:t>Монополиягэ карты Федераль хезмэтнец Татарстан Рсспубликасы буенча идарэсе</w:t>
      </w: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02"/>
        <w:ind w:left="140" w:right="0" w:firstLine="0"/>
      </w:pPr>
      <w:r>
        <w:rPr>
          <w:rStyle w:val="CharStyle8"/>
        </w:rPr>
        <w:t xml:space="preserve">ул. Московская, д. 55, г. Казань. 42002) тел.; («43) 230-89-22. факс (843) 238-19-40 </w:t>
      </w:r>
      <w:r>
        <w:rPr>
          <w:rStyle w:val="CharStyle8"/>
          <w:lang w:val="en-US" w:eastAsia="en-US" w:bidi="en-US"/>
        </w:rPr>
        <w:t xml:space="preserve">e-mail: to </w:t>
      </w:r>
      <w:r>
        <w:rPr>
          <w:rStyle w:val="CharStyle8"/>
        </w:rPr>
        <w:t xml:space="preserve">16 (о! </w:t>
      </w:r>
      <w:r>
        <w:rPr>
          <w:rStyle w:val="CharStyle8"/>
          <w:lang w:val="en-US" w:eastAsia="en-US" w:bidi="en-US"/>
        </w:rPr>
        <w:t>fas. gov.ru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0" w:right="0" w:firstLine="0"/>
      </w:pPr>
      <w:bookmarkStart w:id="0" w:name="bookmark0"/>
      <w:r>
        <w:rPr>
          <w:rStyle w:val="CharStyle11"/>
          <w:lang w:val="en-US" w:eastAsia="en-US" w:bidi="en-US"/>
          <w:i/>
          <w:iCs/>
        </w:rPr>
        <w:t xml:space="preserve">ib. </w:t>
      </w:r>
      <w:r>
        <w:rPr>
          <w:rStyle w:val="CharStyle11"/>
          <w:i/>
          <w:iCs/>
        </w:rPr>
        <w:t>Н</w:t>
      </w:r>
      <w:r>
        <w:rPr>
          <w:rStyle w:val="CharStyle12"/>
          <w:i/>
          <w:iCs/>
        </w:rPr>
        <w:t>Лся^</w:t>
      </w:r>
      <w:r>
        <w:rPr>
          <w:rStyle w:val="CharStyle13"/>
          <w:i w:val="0"/>
          <w:iCs w:val="0"/>
        </w:rPr>
        <w:t xml:space="preserve"> № </w:t>
      </w:r>
      <w:r>
        <w:rPr>
          <w:rStyle w:val="CharStyle11"/>
          <w:i/>
          <w:iCs/>
        </w:rPr>
        <w:t>ы-счкш&lt;д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173" w:lineRule="exact"/>
        <w:ind w:left="0" w:right="0" w:firstLine="0"/>
        <w:sectPr>
          <w:type w:val="continuous"/>
          <w:pgSz w:w="11906" w:h="16838"/>
          <w:pgMar w:top="413" w:left="1472" w:right="1837" w:bottom="403" w:header="0" w:footer="3" w:gutter="0"/>
          <w:rtlGutter w:val="0"/>
          <w:cols w:num="2" w:space="720" w:equalWidth="0">
            <w:col w:w="3648" w:space="2045"/>
            <w:col w:w="2904"/>
          </w:cols>
          <w:noEndnote/>
          <w:docGrid w:linePitch="360"/>
        </w:sectPr>
      </w:pPr>
      <w:r>
        <w:rPr>
          <w:rStyle w:val="CharStyle8"/>
        </w:rPr>
        <w:t xml:space="preserve">Москоу ур., 55 </w:t>
      </w:r>
      <w:r>
        <w:rPr>
          <w:rStyle w:val="CharStyle8"/>
          <w:lang w:val="en-US" w:eastAsia="en-US" w:bidi="en-US"/>
        </w:rPr>
        <w:t xml:space="preserve">iiopr. Kajan </w:t>
      </w:r>
      <w:r>
        <w:rPr>
          <w:rStyle w:val="CharStyle8"/>
        </w:rPr>
        <w:t xml:space="preserve">шэ1юре. 420021 тел.: (843) 236-89-22. факс </w:t>
      </w:r>
      <w:r>
        <w:rPr>
          <w:rStyle w:val="CharStyle8"/>
          <w:lang w:val="en-US" w:eastAsia="en-US" w:bidi="en-US"/>
        </w:rPr>
        <w:t xml:space="preserve">1X43) </w:t>
      </w:r>
      <w:r>
        <w:rPr>
          <w:rStyle w:val="CharStyle8"/>
        </w:rPr>
        <w:t xml:space="preserve">23Х-19-46 </w:t>
      </w:r>
      <w:r>
        <w:rPr>
          <w:rStyle w:val="CharStyle8"/>
          <w:lang w:val="en-US" w:eastAsia="en-US" w:bidi="en-US"/>
        </w:rPr>
        <w:t xml:space="preserve">e-mail: to </w:t>
      </w:r>
      <w:r>
        <w:rPr>
          <w:rStyle w:val="CharStyle8"/>
        </w:rPr>
        <w:t xml:space="preserve">16(а </w:t>
      </w:r>
      <w:r>
        <w:rPr>
          <w:rStyle w:val="CharStyle8"/>
          <w:lang w:val="en-US" w:eastAsia="en-US" w:bidi="en-US"/>
        </w:rPr>
        <w:t>fas.gov.ru</w:t>
      </w:r>
    </w:p>
    <w:p>
      <w:pPr>
        <w:widowControl w:val="0"/>
        <w:spacing w:before="118" w:after="1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tabs>
          <w:tab w:leader="underscore" w:pos="2628" w:val="right"/>
          <w:tab w:leader="underscore" w:pos="38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20" w:right="0" w:firstLine="760"/>
      </w:pPr>
      <w:r>
        <w:rPr>
          <w:rStyle w:val="CharStyle8"/>
        </w:rPr>
        <w:t>На №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8"/>
        </w:rPr>
        <w:t>ОТ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536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36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«Институт Гипростроймосг-Санкт- Петербург»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616" w:line="240" w:lineRule="exact"/>
        <w:ind w:left="5360" w:right="0" w:firstLine="0"/>
      </w:pPr>
      <w:r>
        <w:rPr>
          <w:rStyle w:val="CharStyle17"/>
          <w:lang w:val="ru-RU" w:eastAsia="ru-RU" w:bidi="ru-RU"/>
        </w:rPr>
        <w:t xml:space="preserve">01 да. </w:t>
      </w:r>
      <w:r>
        <w:fldChar w:fldCharType="begin"/>
      </w:r>
      <w:r>
        <w:rPr>
          <w:rStyle w:val="CharStyle17"/>
        </w:rPr>
        <w:instrText> HYPERLINK "mailto:Glazova@gpsm.ru" </w:instrText>
      </w:r>
      <w:r>
        <w:fldChar w:fldCharType="separate"/>
      </w:r>
      <w:r>
        <w:rPr>
          <w:rStyle w:val="Hyperlink"/>
        </w:rPr>
        <w:t>Glazova@gpsm.ru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362"/>
        <w:ind w:left="260" w:right="0" w:firstLine="0"/>
      </w:pPr>
      <w:r>
        <w:rPr>
          <w:rStyle w:val="CharStyle18"/>
        </w:rPr>
        <w:t>РЕШЕНИЕ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делу №532-кз/2017 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Style14"/>
        <w:tabs>
          <w:tab w:leader="none" w:pos="90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6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 ноября 2017 года</w:t>
        <w:tab/>
        <w:t>г. Казань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8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4"/>
        <w:tabs>
          <w:tab w:leader="none" w:pos="5846" w:val="left"/>
          <w:tab w:leader="none" w:pos="1004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Председателя Комиссии:</w:t>
        <w:tab/>
        <w:t>Яфизова А.А.</w:t>
        <w:tab/>
        <w:t>— начальника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отдела,</w:t>
      </w:r>
    </w:p>
    <w:p>
      <w:pPr>
        <w:pStyle w:val="Style14"/>
        <w:tabs>
          <w:tab w:leader="none" w:pos="5846" w:val="left"/>
          <w:tab w:leader="none" w:pos="1004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>Амировой В.Р.</w:t>
        <w:tab/>
        <w:t>- ведущего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94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Закировой А.Р. - специалиста- эксперта,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362"/>
        <w:ind w:left="20" w:right="28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присутствии представителя заказчика 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 Хайруллина А.В. (доверенность от 09.01.2017г. №9), в отсутствии представителя заявителя АО «Институт Гипростроймост-Санкт-Петербург», о времени и месте рассмотрения жалобы уведомленного надлежащим образом, рассмотрев жалобу АО «Институт </w:t>
      </w:r>
      <w:r>
        <w:rPr>
          <w:rStyle w:val="CharStyle19"/>
        </w:rPr>
        <w:t xml:space="preserve">Гипростроймост-Санкт-Петербург» на действия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государственного заказчика ГКУ «Главное управление содержания и развития дорожно-транспортного комплекса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138949</w:t>
      </w:r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418" w:line="312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Татарстана при Министерстве транспорта и дорожного хозяйства Республики Татарстан» при проведении открытого конкурса №0311200024917000287 на предмет: «Выполнение проектно-изыскательских работ, разработка комплексных схем организации дорожного движения в муниципальных районах Республики Татарстан»,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256" w:line="240" w:lineRule="exact"/>
        <w:ind w:left="4160" w:right="0" w:firstLine="0"/>
      </w:pPr>
      <w:bookmarkStart w:id="1" w:name="bookmark1"/>
      <w:r>
        <w:rPr>
          <w:rStyle w:val="CharStyle22"/>
        </w:rPr>
        <w:t>УСТАНОВИЛА:</w:t>
      </w:r>
      <w:bookmarkEnd w:id="1"/>
    </w:p>
    <w:p>
      <w:pPr>
        <w:pStyle w:val="Style14"/>
        <w:tabs>
          <w:tab w:leader="none" w:pos="1020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о проведении открытого конкурса:</w:t>
        <w:tab/>
        <w:t>№0311200024917000287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размещено на официальном сайте Российской Федерации </w:t>
      </w:r>
      <w:r>
        <w:fldChar w:fldCharType="begin"/>
      </w:r>
      <w:r>
        <w:rPr>
          <w:color w:val="000000"/>
        </w:rPr>
        <w:instrText> HYPERLINK "http://www.zakupki.govTu"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www.zakupki.govTu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27.10.2017г.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- ГКУ «Главное управление содержания и развития дорожно- транспортного комплекса Татарстана при Министерстве транспорта и дорожного хозяйства Республики Татарстан».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- 28 942 229, 00 руб.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Суть жалобы, по мнению заявителя, закупка проводится с нарушением норм действующего законодательства.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материалы, а также доводы сторон, Комиссия установила следующее.</w:t>
      </w:r>
    </w:p>
    <w:p>
      <w:pPr>
        <w:pStyle w:val="Style14"/>
        <w:numPr>
          <w:ilvl w:val="0"/>
          <w:numId w:val="1"/>
        </w:numPr>
        <w:tabs>
          <w:tab w:leader="none" w:pos="10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Относительно довода, что заказчиком неправомерно установлены критерии оценки заявок.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4 части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цена контракта;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расходы на эксплуатацию и ремонт товаров, использование результатов работ;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качественные, функциональные и экологические характеристики объекта закупки;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2 Информационной карты объектом закупки является выполнение проектно-изыскательских работ, разработка комплексных схем организации дорожного движения в муниципальных районах Республики Татарстан.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разделе 26 конкурсной документации «Информационная карта конкурса», в пункте 16 «Критерии оценки заявок на участие в открытом конкурсе, величины значимости таких критериев, порядок расчёта рейтинга заявки на основании указанных критериев» предусмотрены следующие критерии и порядок оценки заявок на участие в Конкурсе: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Цена контракта - 60 процентов;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Качество работ и квалификация участника размещения заказа - 40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процентов.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критерия «Качество работ и квалификация участника размещения заказа» конкурсной документацией предусмотрены два подкритерия (показателя):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«Качество работ»;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«Опыт участника по успешному выполнению работ сопоставимого характера и объема» (далее - подкритерий «Опыт»);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Однако, пунктом 16 Информационной карты установлено, что опыт работы, с вязанный с предметом контракта, определяется в соответствии с основным видом работ по конкурсной документации, а именно выполнение проектно-изыскательских работ по проектированию автомобильных дорог общего пользования. Сведения подтверждаются представленными в составе заявки копиями контрактов (договоров), заключенных ранее с участником размещения заказа, копиями оформленных актов приемки выполненных работ.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том, что стоимость работ по выполнению проектно-изыскательских работ, в частности на ремонт водопропускной трубы на автодороге «Буинск - Яльчики» - Новые Чекабы - Кыр Тавгельдино км 2+165 в Буинском муниципальном районе Республики Татарстан составляет всего 1,06% от начальной (максимальной) цены контракта, и является единственной проектно-изыскательской работой входящей в лот работ.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участники закупки, не представившие документы подтверждающие выполнение проектно-изыскательских работ по проектированию автомобильных дорог общего пользования, но имеющие опыт работы, связанный с объектом закупки, а именно выполнение научно-исследовательских работ по теме Комплексная схема организации дорожного движения, не имеют возможности получить баллы по подкритерию «Опыт».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 заявителя признан обоснованным, заказчиком нарушено требование пункта 4 части 1 статьи 32 Закона о контрактной сиситеме.</w:t>
      </w:r>
    </w:p>
    <w:p>
      <w:pPr>
        <w:pStyle w:val="Style14"/>
        <w:numPr>
          <w:ilvl w:val="0"/>
          <w:numId w:val="1"/>
        </w:numPr>
        <w:tabs>
          <w:tab w:leader="none" w:pos="10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Относительно довода, что заказчиком объединены в один лот различные виды работ.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25 Закона о контрактной системе, при осуществлении двумя и более заказчиками закупок одних и тех же товаров, работ, услуг, такие заказчики вправе проводить совместные конкурсы или аукционы.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статье 6 Закона о контрактной системе,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частью 2 статьи 8 Закона о контрактной системе,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закупок, </w:t>
      </w:r>
      <w:r>
        <w:rPr>
          <w:rStyle w:val="CharStyle23"/>
        </w:rPr>
        <w:t xml:space="preserve">членами таких комиссий, участниками закупок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8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согласно части 1 статьи 17 Федерального закона от 26.07.2006 №135-Ф3 «О защите конкуренции» (далее - Закон о защите конкуренции), при проведении торгов запрещаются действия, которые приводят или могут привести к недопущению, ограничению или устранению конкуренции.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Пунктом 1 </w:t>
      </w:r>
      <w:r>
        <w:rPr>
          <w:rStyle w:val="CharStyle23"/>
        </w:rPr>
        <w:t xml:space="preserve">части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 </w:t>
      </w:r>
      <w:r>
        <w:rPr>
          <w:rStyle w:val="CharStyle23"/>
        </w:rPr>
        <w:t xml:space="preserve">статьи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33 </w:t>
      </w:r>
      <w:r>
        <w:rPr>
          <w:rStyle w:val="CharStyle23"/>
        </w:rPr>
        <w:t xml:space="preserve">Закона о контрактной системе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установлено, </w:t>
      </w:r>
      <w:r>
        <w:rPr>
          <w:rStyle w:val="CharStyle23"/>
        </w:rPr>
        <w:t xml:space="preserve">что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</w:t>
      </w:r>
      <w:r>
        <w:rPr>
          <w:rStyle w:val="CharStyle24"/>
        </w:rPr>
        <w:t xml:space="preserve">а также требования к товарам, информации, работам, услугам при условии, что такие требования влекут за собой ограничение количества участников закупки,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совокупного толкования вышеприведенных норм следует, что заказчики вправе проводить совместные закупки, предметом которых являются одни и те же товары, работы и услуги, при условии, что требования к таким товарам, работам и услугам не будут ограничивать количество участников закупочной процедуры.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согласно извещению о проведении открытого конкурса, закупка осуществляется девятью заказчиками, при этом из девяти заказчиков, только один имеет потребность в выполнении проектно-изыскательских работ, остальные на выполнение научно-исследовательских работ по теме Комплексная схема организации дорожного движения.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объединение в один лот разных видов работ препятствует потенциальным участникам принять участие в закупке, а именно участникам, которые выполняют только работы по разработке комплексных схем организации дорожного движения, но не выполняют проектно-изыскательские работы, либо наоборот.</w:t>
      </w:r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довод заявителя признан обоснованным, заказчиком нарушено требование пункта 1 части 1 статьи 33 Закона о контрактной системе, статьи 17 Закона о защите конкуренции.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314" w:line="31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вышеизложенного, руководствуясь пунктом 2 части 22 статьи 99, частью 8 статьи 106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44-ФЗ «О контрактной системе в сфере закупок товаров, работ, услуг для обеспечения </w:t>
      </w:r>
      <w:r>
        <w:rPr>
          <w:rStyle w:val="CharStyle25"/>
        </w:rPr>
        <w:t xml:space="preserve">государственных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муниципальных нужд», Комиссия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320" w:line="220" w:lineRule="exact"/>
        <w:ind w:left="468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АО «Институт Гипростроймост-Санкт-Петербург» на действия государственного заказчика 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 при проведении открытого конкурса №0311200024917000287 на предмет: «Выполнение проектно</w:t>
        <w:softHyphen/>
        <w:t>изыскательских работ, разработка комплексных схем организации дорожного движения в муниципальных районах Республики Татарстан», обоснованной.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 нарушившим требования пункта 4 части 1 статьи 32, пункта 1 части 1 статьи 33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статьи 17 Федерального закона от 26.07.2006 №135-Ф3 «О защите конкуренции».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 предписание об устранении нарушений требований действующего законодательства Российской Федерации о контрактной системе.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>
      <w:pPr>
        <w:pStyle w:val="Style14"/>
        <w:framePr w:h="250" w:hSpace="786" w:vSpace="374" w:wrap="around" w:vAnchor="text" w:hAnchor="margin" w:x="6707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5"/>
          <w:spacing w:val="0"/>
        </w:rPr>
        <w:t>ебном порядке в течение трех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98" w:line="312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обжаловав месяцев со дня его принятия.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192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Амирова Венера Ришатовна, (843)238-24-86</w:t>
      </w:r>
    </w:p>
    <w:sectPr>
      <w:type w:val="continuous"/>
      <w:pgSz w:w="11906" w:h="16838"/>
      <w:pgMar w:top="916" w:left="735" w:right="697" w:bottom="66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/>
      <w:iCs/>
      <w:u w:val="none"/>
      <w:strike w:val="0"/>
      <w:smallCaps w:val="0"/>
      <w:sz w:val="30"/>
      <w:szCs w:val="30"/>
      <w:rFonts w:ascii="Corbel" w:eastAsia="Corbel" w:hAnsi="Corbel" w:cs="Corbel"/>
    </w:rPr>
  </w:style>
  <w:style w:type="character" w:customStyle="1" w:styleId="CharStyle11">
    <w:name w:val="Заголовок №1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Заголовок №1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Заголовок №1 + 10,5 pt,Не курсив"/>
    <w:basedOn w:val="CharStyle10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6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+ Интервал 3 pt"/>
    <w:basedOn w:val="CharStyle16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19">
    <w:name w:val="Основной текст"/>
    <w:basedOn w:val="CharStyle1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Заголовок №2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Заголовок №2 + Интервал 3 pt"/>
    <w:basedOn w:val="CharStyle21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23">
    <w:name w:val="Основной текст + 15 pt,Масштаб 80%"/>
    <w:basedOn w:val="CharStyle16"/>
    <w:rPr>
      <w:lang w:val="ru-RU" w:eastAsia="ru-RU" w:bidi="ru-RU"/>
      <w:sz w:val="30"/>
      <w:szCs w:val="30"/>
      <w:w w:val="80"/>
      <w:spacing w:val="0"/>
      <w:color w:val="000000"/>
      <w:position w:val="0"/>
    </w:rPr>
  </w:style>
  <w:style w:type="character" w:customStyle="1" w:styleId="CharStyle24">
    <w:name w:val="Основной текст + Полужирный,Интервал 0 pt"/>
    <w:basedOn w:val="CharStyle16"/>
    <w:rPr>
      <w:lang w:val="ru-RU" w:eastAsia="ru-RU" w:bidi="ru-RU"/>
      <w:b/>
      <w:bCs/>
      <w:sz w:val="24"/>
      <w:szCs w:val="24"/>
      <w:w w:val="100"/>
      <w:spacing w:val="10"/>
      <w:color w:val="000000"/>
      <w:position w:val="0"/>
    </w:rPr>
  </w:style>
  <w:style w:type="character" w:customStyle="1" w:styleId="CharStyle25">
    <w:name w:val="Основной текст + Интервал 0 pt"/>
    <w:basedOn w:val="CharStyle16"/>
    <w:rPr>
      <w:lang w:val="ru-RU" w:eastAsia="ru-RU" w:bidi="ru-RU"/>
      <w:sz w:val="24"/>
      <w:szCs w:val="24"/>
      <w:w w:val="100"/>
      <w:spacing w:val="10"/>
      <w:color w:val="000000"/>
      <w:position w:val="0"/>
    </w:rPr>
  </w:style>
  <w:style w:type="character" w:customStyle="1" w:styleId="CharStyle27">
    <w:name w:val="Основной текст (4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5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after="300" w:line="178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00"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Corbel" w:eastAsia="Corbel" w:hAnsi="Corbel" w:cs="Corbel"/>
    </w:rPr>
  </w:style>
  <w:style w:type="paragraph" w:customStyle="1" w:styleId="Style14">
    <w:name w:val="Основной текст"/>
    <w:basedOn w:val="Normal"/>
    <w:link w:val="CharStyle16"/>
    <w:pPr>
      <w:widowControl w:val="0"/>
      <w:shd w:val="clear" w:color="auto" w:fill="FFFFFF"/>
      <w:spacing w:after="300" w:line="31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outlineLvl w:val="1"/>
      <w:spacing w:before="36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FFFFFF"/>
      <w:spacing w:before="240" w:after="4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