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698" w:left="1282" w:right="6744" w:bottom="727"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2020" w:firstLine="0"/>
      </w:pPr>
      <w:r>
        <w:rPr>
          <w:lang w:val="ru-RU" w:eastAsia="ru-RU" w:bidi="ru-RU"/>
          <w:w w:val="100"/>
          <w:spacing w:val="0"/>
          <w:color w:val="000000"/>
          <w:position w:val="0"/>
        </w:rPr>
        <w:t>№06/12807 На № 108 от 26.10.2017</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Государственное унитарное предприятие Республики Крым «Крымгазсети» 295011, Республика Крым, г. Симферополь, ул. Училищная, д. 42 А</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698" w:left="802" w:right="1148" w:bottom="727" w:header="0" w:footer="3" w:gutter="0"/>
          <w:rtlGutter w:val="0"/>
          <w:cols w:num="2" w:space="144"/>
          <w:noEndnote/>
          <w:docGrid w:linePitch="360"/>
        </w:sectPr>
      </w:pPr>
      <w:r>
        <w:rPr>
          <w:lang w:val="ru-RU" w:eastAsia="ru-RU" w:bidi="ru-RU"/>
          <w:w w:val="100"/>
          <w:spacing w:val="0"/>
          <w:color w:val="000000"/>
          <w:position w:val="0"/>
        </w:rPr>
        <w:t>Общество с ограниченной ответственностью «ГермесСтрой» 427960, Удмуртская Республика, г. Сарапул, ул. С. Разина, д. 35а, пом. 4</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tabs>
          <w:tab w:leader="none" w:pos="5362" w:val="left"/>
        </w:tabs>
        <w:widowControl w:val="0"/>
        <w:keepNext w:val="0"/>
        <w:keepLines w:val="0"/>
        <w:shd w:val="clear" w:color="auto" w:fill="auto"/>
        <w:bidi w:val="0"/>
        <w:jc w:val="both"/>
        <w:spacing w:before="0" w:after="0" w:line="317" w:lineRule="exact"/>
        <w:ind w:left="4980" w:right="900" w:firstLine="0"/>
      </w:pPr>
      <w:r>
        <w:rPr>
          <w:lang w:val="ru-RU" w:eastAsia="ru-RU" w:bidi="ru-RU"/>
          <w:w w:val="100"/>
          <w:spacing w:val="0"/>
          <w:color w:val="000000"/>
          <w:position w:val="0"/>
        </w:rPr>
        <w:t>Оператор электронной площадки: ОАО «Единая Электронная Торговая Площадка»</w:t>
      </w:r>
    </w:p>
    <w:p>
      <w:pPr>
        <w:pStyle w:val="Style7"/>
        <w:widowControl w:val="0"/>
        <w:keepNext w:val="0"/>
        <w:keepLines w:val="0"/>
        <w:shd w:val="clear" w:color="auto" w:fill="auto"/>
        <w:bidi w:val="0"/>
        <w:jc w:val="left"/>
        <w:spacing w:before="0" w:after="176" w:line="317" w:lineRule="exact"/>
        <w:ind w:left="4980" w:right="19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Решение по делу №06/4098-17 о нарушении законодательства Российской Федерации о контрактной системе в сфере закупок</w:t>
      </w:r>
    </w:p>
    <w:p>
      <w:pPr>
        <w:pStyle w:val="Style7"/>
        <w:numPr>
          <w:ilvl w:val="0"/>
          <w:numId w:val="5"/>
        </w:numPr>
        <w:tabs>
          <w:tab w:leader="none" w:pos="8030" w:val="left"/>
          <w:tab w:leader="none" w:pos="8066" w:val="left"/>
        </w:tabs>
        <w:widowControl w:val="0"/>
        <w:keepNext w:val="0"/>
        <w:keepLines w:val="0"/>
        <w:shd w:val="clear" w:color="auto" w:fill="auto"/>
        <w:bidi w:val="0"/>
        <w:jc w:val="both"/>
        <w:spacing w:before="0" w:after="7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Заказчика А. С. Титова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Заявителя Р. Р. Загидуллина (по доверенности),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рассмотрев жалобу Заявителя от 26.10.2017 № 108 (вх. №4692/09 от</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26.10.2017) на действия Единой комиссии Заказчика при проведении электронного аукциона «Поставка полиэтиленовых фитингов» (номер извещения 0575200000417000216)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7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Крымским </w:t>
      </w:r>
      <w:r>
        <w:rPr>
          <w:rStyle w:val="CharStyle12"/>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27.10.2017 №06/12183,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15:30 31.10.2017.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14:30 03.11.2017.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Представитель Заказчика не согласился с доводами Заявителя и сообщил, что при проведении Аукциона Заказчик и Единая комиссия Заказчика действовали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10.10.2017;</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способ определения поставщика (подрядчика, исполнителя) - электронный</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- 758 899,14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18.10.2017 08:00, дата окончания срока рассмотрения первых частей заявок участников: 20.10.2017, дата проведения Аукциона: 23.10.2017;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13 заявок, из них по результатам рассмотрения первых частей заявок 9 заявок отклонены;</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4 участника, снижение от начальной (максимальной) цены контракта составило 51,54%;</w:t>
      </w:r>
    </w:p>
    <w:p>
      <w:pPr>
        <w:pStyle w:val="Style7"/>
        <w:numPr>
          <w:ilvl w:val="0"/>
          <w:numId w:val="7"/>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победителем Аукциона признано ООО «ПОЛИПАЙПГРУПП» с предложенной ценой контракта 367 796,08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w:t>
      </w:r>
    </w:p>
    <w:p>
      <w:pPr>
        <w:pStyle w:val="Style7"/>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соответствии протоколом рассмотрения заявок на участие в электронном аукционе от 20.10.2017 №0575200000417000216-1-1 участникам закупки с порядковыми номерами заявок «2», «3», «4», «5», «8» отказано в допуске к участию в Аукционе по причине: «...</w:t>
      </w:r>
    </w:p>
    <w:p>
      <w:pPr>
        <w:pStyle w:val="Style15"/>
        <w:widowControl w:val="0"/>
        <w:keepNext w:val="0"/>
        <w:keepLines w:val="0"/>
        <w:shd w:val="clear" w:color="auto" w:fill="auto"/>
        <w:bidi w:val="0"/>
        <w:spacing w:before="0" w:after="0"/>
        <w:ind w:left="120" w:right="20" w:firstLine="860"/>
      </w:pPr>
      <w:r>
        <w:rPr>
          <w:lang w:val="ru-RU" w:eastAsia="ru-RU" w:bidi="ru-RU"/>
          <w:w w:val="100"/>
          <w:spacing w:val="0"/>
          <w:color w:val="000000"/>
          <w:position w:val="0"/>
        </w:rPr>
        <w:t>В соответствии с п. 1 ч. 4 ст. 67 Закона 44-ФЗ, а именно: непредоставление в первой части заявки участника информации, предусмотренной п.п. б) п. 1 ч. 3 ст. 66 Закона № 44-ФЗ, п.п б) п. 1.1 ч. 1 раздела П.Ш Требования к содержанию и составу заявки на участие в электронном аукционе документации об электронном аукционе:</w:t>
      </w:r>
    </w:p>
    <w:p>
      <w:pPr>
        <w:pStyle w:val="Style15"/>
        <w:widowControl w:val="0"/>
        <w:keepNext w:val="0"/>
        <w:keepLines w:val="0"/>
        <w:shd w:val="clear" w:color="auto" w:fill="auto"/>
        <w:bidi w:val="0"/>
        <w:spacing w:before="0" w:after="0"/>
        <w:ind w:left="120" w:right="20" w:firstLine="860"/>
      </w:pPr>
      <w:r>
        <w:rPr>
          <w:lang w:val="ru-RU" w:eastAsia="ru-RU" w:bidi="ru-RU"/>
          <w:w w:val="100"/>
          <w:spacing w:val="0"/>
          <w:color w:val="000000"/>
          <w:position w:val="0"/>
        </w:rPr>
        <w:t>Согласно п.п. б) п. 1.1ч. 1 раздела П.Ш Требования к содержанию и составу заявки на участие в электронном аукционе документации об электронном аукционе, участник должен предоставить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5"/>
        <w:widowControl w:val="0"/>
        <w:keepNext w:val="0"/>
        <w:keepLines w:val="0"/>
        <w:shd w:val="clear" w:color="auto" w:fill="auto"/>
        <w:bidi w:val="0"/>
        <w:spacing w:before="0" w:after="0"/>
        <w:ind w:left="120" w:right="0" w:firstLine="860"/>
      </w:pPr>
      <w:r>
        <w:rPr>
          <w:lang w:val="ru-RU" w:eastAsia="ru-RU" w:bidi="ru-RU"/>
          <w:w w:val="100"/>
          <w:spacing w:val="0"/>
          <w:color w:val="000000"/>
          <w:position w:val="0"/>
        </w:rPr>
        <w:t>В свою очередь, участником вышеуказанные данные не предоставлены.</w:t>
      </w:r>
    </w:p>
    <w:p>
      <w:pPr>
        <w:pStyle w:val="Style15"/>
        <w:widowControl w:val="0"/>
        <w:keepNext w:val="0"/>
        <w:keepLines w:val="0"/>
        <w:shd w:val="clear" w:color="auto" w:fill="auto"/>
        <w:bidi w:val="0"/>
        <w:spacing w:before="0" w:after="0"/>
        <w:ind w:left="120" w:right="20" w:firstLine="860"/>
      </w:pPr>
      <w:r>
        <w:rPr>
          <w:lang w:val="ru-RU" w:eastAsia="ru-RU" w:bidi="ru-RU"/>
          <w:w w:val="100"/>
          <w:spacing w:val="0"/>
          <w:color w:val="000000"/>
          <w:position w:val="0"/>
        </w:rPr>
        <w:t>В колонке «Указание на товарный знак (при наличии), наименование изготовителя, наименование страны происхождения товара» не указанно наименование производителя, что не соответствует п. 5.3 ГОСТ Р 52779-2007.</w:t>
      </w:r>
    </w:p>
    <w:p>
      <w:pPr>
        <w:pStyle w:val="Style15"/>
        <w:widowControl w:val="0"/>
        <w:keepNext w:val="0"/>
        <w:keepLines w:val="0"/>
        <w:shd w:val="clear" w:color="auto" w:fill="auto"/>
        <w:bidi w:val="0"/>
        <w:spacing w:before="0" w:after="0"/>
        <w:ind w:left="120" w:right="20" w:firstLine="860"/>
      </w:pPr>
      <w:r>
        <w:rPr>
          <w:lang w:val="ru-RU" w:eastAsia="ru-RU" w:bidi="ru-RU"/>
          <w:w w:val="100"/>
          <w:spacing w:val="0"/>
          <w:color w:val="000000"/>
          <w:position w:val="0"/>
        </w:rPr>
        <w:t>Таким образом, заявка участника не соответствует требованиям документации об электронном аукционе</w:t>
      </w:r>
    </w:p>
    <w:p>
      <w:pPr>
        <w:pStyle w:val="Style7"/>
        <w:widowControl w:val="0"/>
        <w:keepNext w:val="0"/>
        <w:keepLines w:val="0"/>
        <w:shd w:val="clear" w:color="auto" w:fill="auto"/>
        <w:bidi w:val="0"/>
        <w:jc w:val="left"/>
        <w:spacing w:before="0" w:after="0" w:line="322" w:lineRule="exact"/>
        <w:ind w:left="840" w:right="0" w:firstLine="0"/>
      </w:pPr>
      <w:r>
        <w:rPr>
          <w:rStyle w:val="CharStyle17"/>
        </w:rPr>
        <w:t>...»</w:t>
      </w:r>
      <w:r>
        <w:rPr>
          <w:lang w:val="ru-RU" w:eastAsia="ru-RU" w:bidi="ru-RU"/>
          <w:w w:val="100"/>
          <w:spacing w:val="0"/>
          <w:color w:val="000000"/>
          <w:position w:val="0"/>
        </w:rPr>
        <w:t xml:space="preserve"> (цитата Протокола рассмотрения).</w:t>
      </w:r>
    </w:p>
    <w:p>
      <w:pPr>
        <w:pStyle w:val="Style7"/>
        <w:widowControl w:val="0"/>
        <w:keepNext w:val="0"/>
        <w:keepLines w:val="0"/>
        <w:shd w:val="clear" w:color="auto" w:fill="auto"/>
        <w:bidi w:val="0"/>
        <w:jc w:val="left"/>
        <w:spacing w:before="0" w:after="0" w:line="322" w:lineRule="exact"/>
        <w:ind w:left="840" w:right="0" w:firstLine="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7"/>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128" w:line="220" w:lineRule="exact"/>
        <w:ind w:left="3060" w:right="0" w:firstLine="0"/>
      </w:pPr>
      <w:r>
        <w:rPr>
          <w:lang w:val="ru-RU" w:eastAsia="ru-RU" w:bidi="ru-RU"/>
          <w:w w:val="100"/>
          <w:spacing w:val="0"/>
          <w:color w:val="000000"/>
          <w:position w:val="0"/>
        </w:rPr>
        <w:t>2. Основные требования к объекту закупки</w:t>
      </w:r>
    </w:p>
    <w:p>
      <w:pPr>
        <w:pStyle w:val="Style15"/>
        <w:widowControl w:val="0"/>
        <w:keepNext w:val="0"/>
        <w:keepLines w:val="0"/>
        <w:shd w:val="clear" w:color="auto" w:fill="auto"/>
        <w:bidi w:val="0"/>
        <w:jc w:val="left"/>
        <w:spacing w:before="0" w:after="496" w:line="220" w:lineRule="exact"/>
        <w:ind w:left="3600" w:right="0" w:firstLine="0"/>
      </w:pPr>
      <w:r>
        <w:rPr>
          <w:rStyle w:val="CharStyle18"/>
        </w:rPr>
        <w:t>"</w:t>
      </w:r>
      <w:r>
        <w:rPr>
          <w:lang w:val="ru-RU" w:eastAsia="ru-RU" w:bidi="ru-RU"/>
          <w:w w:val="100"/>
          <w:spacing w:val="0"/>
          <w:color w:val="000000"/>
          <w:position w:val="0"/>
        </w:rPr>
        <w:t>Поставка полиэтиленовых фитингов</w:t>
      </w:r>
      <w:r>
        <w:rPr>
          <w:rStyle w:val="CharStyle18"/>
        </w:rPr>
        <w:t>"</w:t>
      </w:r>
    </w:p>
    <w:tbl>
      <w:tblPr>
        <w:tblOverlap w:val="never"/>
        <w:tblLayout w:type="fixed"/>
        <w:jc w:val="center"/>
      </w:tblPr>
      <w:tblGrid>
        <w:gridCol w:w="720"/>
        <w:gridCol w:w="4531"/>
        <w:gridCol w:w="5078"/>
      </w:tblGrid>
      <w:tr>
        <w:trPr>
          <w:trHeight w:val="600"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60" w:line="200" w:lineRule="exact"/>
              <w:ind w:left="260" w:right="0" w:firstLine="0"/>
            </w:pPr>
            <w:r>
              <w:rPr>
                <w:rStyle w:val="CharStyle19"/>
              </w:rPr>
              <w:t>№</w:t>
            </w:r>
          </w:p>
          <w:p>
            <w:pPr>
              <w:pStyle w:val="Style7"/>
              <w:framePr w:w="10330" w:wrap="notBeside" w:vAnchor="text" w:hAnchor="text" w:xAlign="center" w:y="1"/>
              <w:widowControl w:val="0"/>
              <w:keepNext w:val="0"/>
              <w:keepLines w:val="0"/>
              <w:shd w:val="clear" w:color="auto" w:fill="auto"/>
              <w:bidi w:val="0"/>
              <w:jc w:val="left"/>
              <w:spacing w:before="60" w:after="0" w:line="200" w:lineRule="exact"/>
              <w:ind w:left="260" w:right="0" w:firstLine="0"/>
            </w:pPr>
            <w:r>
              <w:rPr>
                <w:rStyle w:val="CharStyle19"/>
              </w:rPr>
              <w:t>п/п</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9"/>
              </w:rPr>
              <w:t>Наименование параметров</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9"/>
              </w:rPr>
              <w:t>Содержание</w:t>
            </w:r>
          </w:p>
        </w:tc>
      </w:tr>
      <w:tr>
        <w:trPr>
          <w:trHeight w:val="499"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893"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00" w:lineRule="exact"/>
              <w:ind w:left="260" w:right="0" w:firstLine="0"/>
            </w:pPr>
            <w:r>
              <w:rPr>
                <w:rStyle w:val="CharStyle20"/>
              </w:rPr>
              <w:t>7.</w:t>
            </w:r>
          </w:p>
        </w:tc>
        <w:tc>
          <w:tcPr>
            <w:shd w:val="clear" w:color="auto" w:fill="FFFFFF"/>
            <w:gridSpan w:val="2"/>
            <w:tcBorders>
              <w:left w:val="single" w:sz="4"/>
              <w:righ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0"/>
              </w:rPr>
              <w:t>Описание товаров (необходимый перечень функциональных и технических характеристик, потребительских свойств, и их количественные, качественные и иные показатели, требуемые с учетом потребностей заказчика)</w:t>
            </w:r>
          </w:p>
        </w:tc>
      </w:tr>
    </w:tbl>
    <w:p>
      <w:pPr>
        <w:widowControl w:val="0"/>
        <w:rPr>
          <w:sz w:val="2"/>
          <w:szCs w:val="2"/>
        </w:rPr>
      </w:pPr>
    </w:p>
    <w:tbl>
      <w:tblPr>
        <w:tblOverlap w:val="never"/>
        <w:tblLayout w:type="fixed"/>
        <w:jc w:val="center"/>
      </w:tblPr>
      <w:tblGrid>
        <w:gridCol w:w="720"/>
        <w:gridCol w:w="562"/>
        <w:gridCol w:w="960"/>
        <w:gridCol w:w="1560"/>
        <w:gridCol w:w="422"/>
        <w:gridCol w:w="2270"/>
        <w:gridCol w:w="566"/>
        <w:gridCol w:w="422"/>
        <w:gridCol w:w="2846"/>
      </w:tblGrid>
      <w:tr>
        <w:trPr>
          <w:trHeight w:val="859" w:hRule="exact"/>
        </w:trPr>
        <w:tc>
          <w:tcPr>
            <w:shd w:val="clear" w:color="auto" w:fill="FFFFFF"/>
            <w:vMerge w:val="restart"/>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60" w:line="200" w:lineRule="exact"/>
              <w:ind w:left="160" w:right="0" w:firstLine="0"/>
            </w:pPr>
            <w:r>
              <w:rPr>
                <w:rStyle w:val="CharStyle20"/>
              </w:rPr>
              <w:t>№</w:t>
            </w:r>
          </w:p>
          <w:p>
            <w:pPr>
              <w:pStyle w:val="Style7"/>
              <w:framePr w:w="10330" w:wrap="notBeside" w:vAnchor="text" w:hAnchor="text" w:xAlign="center" w:y="1"/>
              <w:widowControl w:val="0"/>
              <w:keepNext w:val="0"/>
              <w:keepLines w:val="0"/>
              <w:shd w:val="clear" w:color="auto" w:fill="auto"/>
              <w:bidi w:val="0"/>
              <w:jc w:val="left"/>
              <w:spacing w:before="60" w:after="0" w:line="200" w:lineRule="exact"/>
              <w:ind w:left="160" w:right="0" w:firstLine="0"/>
            </w:pPr>
            <w:r>
              <w:rPr>
                <w:rStyle w:val="CharStyle20"/>
              </w:rPr>
              <w:t>п/п</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Наименов</w:t>
            </w:r>
          </w:p>
          <w:p>
            <w:pPr>
              <w:pStyle w:val="Style7"/>
              <w:framePr w:w="10330"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ание</w:t>
            </w:r>
          </w:p>
          <w:p>
            <w:pPr>
              <w:pStyle w:val="Style7"/>
              <w:framePr w:w="10330"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товара</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23"/>
              </w:rPr>
              <w:t>Наименование</w:t>
            </w:r>
          </w:p>
          <w:p>
            <w:pPr>
              <w:pStyle w:val="Style7"/>
              <w:framePr w:w="10330" w:wrap="notBeside" w:vAnchor="text" w:hAnchor="text" w:xAlign="center" w:y="1"/>
              <w:widowControl w:val="0"/>
              <w:keepNext w:val="0"/>
              <w:keepLines w:val="0"/>
              <w:shd w:val="clear" w:color="auto" w:fill="auto"/>
              <w:bidi w:val="0"/>
              <w:jc w:val="center"/>
              <w:spacing w:before="60" w:after="0" w:line="150" w:lineRule="exact"/>
              <w:ind w:left="0" w:right="0" w:firstLine="0"/>
            </w:pPr>
            <w:r>
              <w:rPr>
                <w:rStyle w:val="CharStyle23"/>
              </w:rPr>
              <w:t>показателя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Значения показателей которые не могут меняться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Указание на товарный знак (при наличии), наименование изготовителя, наименование страны происхождения товара</w:t>
            </w:r>
          </w:p>
        </w:tc>
      </w:tr>
      <w:tr>
        <w:trPr>
          <w:trHeight w:val="302" w:hRule="exact"/>
        </w:trPr>
        <w:tc>
          <w:tcPr>
            <w:shd w:val="clear" w:color="auto" w:fill="FFFFFF"/>
            <w:vMerge/>
            <w:tcBorders>
              <w:left w:val="single" w:sz="4"/>
            </w:tcBorders>
            <w:vAlign w:val="top"/>
          </w:tcPr>
          <w:p>
            <w:pPr>
              <w:framePr w:w="10330" w:wrap="notBeside" w:vAnchor="text" w:hAnchor="text" w:xAlign="center" w:y="1"/>
            </w:pPr>
          </w:p>
        </w:tc>
        <w:tc>
          <w:tcPr>
            <w:shd w:val="clear" w:color="auto" w:fill="FFFFFF"/>
            <w:vMerge w:val="restart"/>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440" w:hRule="exact"/>
        </w:trPr>
        <w:tc>
          <w:tcPr>
            <w:shd w:val="clear" w:color="auto" w:fill="FFFFFF"/>
            <w:vMerge/>
            <w:tcBorders>
              <w:left w:val="single" w:sz="4"/>
            </w:tcBorders>
            <w:vAlign w:val="top"/>
          </w:tcPr>
          <w:p>
            <w:pPr>
              <w:framePr w:w="10330" w:wrap="notBeside" w:vAnchor="text" w:hAnchor="text" w:xAlign="center" w:y="1"/>
            </w:pPr>
          </w:p>
        </w:tc>
        <w:tc>
          <w:tcPr>
            <w:shd w:val="clear" w:color="auto" w:fill="FFFFFF"/>
            <w:vMerge/>
            <w:tcBorders>
              <w:left w:val="single" w:sz="4"/>
            </w:tcBorders>
            <w:vAlign w:val="top"/>
          </w:tcPr>
          <w:p>
            <w:pPr>
              <w:framePr w:w="10330" w:wrap="notBeside" w:vAnchor="text" w:hAnchor="text" w:xAlign="center" w:y="1"/>
            </w:pPr>
          </w:p>
        </w:tc>
        <w:tc>
          <w:tcPr>
            <w:shd w:val="clear" w:color="auto" w:fill="FFFFFF"/>
            <w:vMerge/>
            <w:tcBorders>
              <w:left w:val="single" w:sz="4"/>
            </w:tcBorders>
            <w:vAlign w:val="top"/>
          </w:tcPr>
          <w:p>
            <w:pPr>
              <w:framePr w:w="10330" w:wrap="notBeside" w:vAnchor="text" w:hAnchor="text" w:xAlign="center" w:y="1"/>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0"/>
              </w:rPr>
              <w:t>Соответствие нормативным требованиям: ГОСТ Р 52779</w:t>
              <w:softHyphen/>
              <w:t>2007 п. 3.4.2 (ИСО 4437:2007)</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0"/>
              </w:rPr>
              <w:t>Соответствие</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07" w:hRule="exact"/>
        </w:trPr>
        <w:tc>
          <w:tcPr>
            <w:shd w:val="clear" w:color="auto" w:fill="FFFFFF"/>
            <w:vMerge/>
            <w:tcBorders>
              <w:left w:val="single" w:sz="4"/>
              <w:bottom w:val="single" w:sz="4"/>
            </w:tcBorders>
            <w:vAlign w:val="top"/>
          </w:tcPr>
          <w:p>
            <w:pPr>
              <w:framePr w:w="10330" w:wrap="notBeside" w:vAnchor="text" w:hAnchor="text" w:xAlign="center" w:y="1"/>
            </w:pPr>
          </w:p>
        </w:tc>
        <w:tc>
          <w:tcPr>
            <w:shd w:val="clear" w:color="auto" w:fill="FFFFFF"/>
            <w:vMerge/>
            <w:tcBorders>
              <w:left w:val="single" w:sz="4"/>
              <w:bottom w:val="single" w:sz="4"/>
            </w:tcBorders>
            <w:vAlign w:val="top"/>
          </w:tcPr>
          <w:p>
            <w:pPr>
              <w:framePr w:w="10330" w:wrap="notBeside" w:vAnchor="text" w:hAnchor="text" w:xAlign="center" w:y="1"/>
            </w:pPr>
          </w:p>
        </w:tc>
        <w:tc>
          <w:tcPr>
            <w:shd w:val="clear" w:color="auto" w:fill="FFFFFF"/>
            <w:vMerge/>
            <w:tcBorders>
              <w:left w:val="single" w:sz="4"/>
              <w:bottom w:val="single" w:sz="4"/>
            </w:tcBorders>
            <w:vAlign w:val="top"/>
          </w:tcPr>
          <w:p>
            <w:pPr>
              <w:framePr w:w="10330" w:wrap="notBeside" w:vAnchor="text" w:hAnchor="text" w:xAlign="center" w:y="1"/>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30" w:wrap="notBeside" w:vAnchor="text" w:hAnchor="text" w:xAlign="center" w:y="1"/>
              <w:widowControl w:val="0"/>
              <w:rPr>
                <w:sz w:val="10"/>
                <w:szCs w:val="10"/>
              </w:rPr>
            </w:pPr>
          </w:p>
        </w:tc>
      </w:tr>
    </w:tbl>
    <w:p>
      <w:pPr>
        <w:pStyle w:val="Style21"/>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документации об Аукционе).</w:t>
      </w:r>
    </w:p>
    <w:p>
      <w:pPr>
        <w:widowControl w:val="0"/>
        <w:rPr>
          <w:sz w:val="2"/>
          <w:szCs w:val="2"/>
        </w:rPr>
      </w:pPr>
    </w:p>
    <w:p>
      <w:pPr>
        <w:pStyle w:val="Style7"/>
        <w:tabs>
          <w:tab w:leader="none" w:pos="10310" w:val="right"/>
        </w:tabs>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силу пункта 5.3.4 ГОСТ Р 52779-2007 на каждую единицу транспортной тары наносят маркировку, характеризующую продукцию:</w:t>
        <w:tab/>
        <w:t>наименование</w:t>
      </w:r>
    </w:p>
    <w:p>
      <w:pPr>
        <w:pStyle w:val="Style7"/>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изготовителя и/или его товарный знак; юридический адрес (местонахождение) изготовителя; условное обозначение детали; номер партии; дату изготовления (день и/или месяц, год); количество деталей в упаковке.</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Вместе с тем, участник Аукциона должен указывать в первой части заявки обязан на участие в электронном аукционе при заключении контракта на поставку товара товарный знак (его словесное обозначение) при наличии такого товарного знака. При этом указывать наименование производителя такого товара участника Аукциона требования пункта 1 части 3 статьи 66 Закона о контрактной системе не обязывает (данная норма утратила силу в связи с принятием Федерального закона от 31.12.2014 №498-ФЗ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На заседании Комиссии представители Заказчика не предоставили документальных доказательств того, что участники закупки с порядковыми номерами заявок «2», «3», «4», «5», «8» указали в заявках на участие в Аукционе товары, имеющие товарные знаки.</w:t>
      </w:r>
    </w:p>
    <w:p>
      <w:pPr>
        <w:pStyle w:val="Style7"/>
        <w:widowControl w:val="0"/>
        <w:keepNext w:val="0"/>
        <w:keepLines w:val="0"/>
        <w:shd w:val="clear" w:color="auto" w:fill="auto"/>
        <w:bidi w:val="0"/>
        <w:jc w:val="both"/>
        <w:spacing w:before="0" w:after="180" w:line="322" w:lineRule="exact"/>
        <w:ind w:left="1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рассмотрению заявок участников Аукциона закупки с порядковыми номерами заявок «2», «3», «4», «5», «8»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229" w:line="322" w:lineRule="exact"/>
        <w:ind w:left="1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192" w:line="260" w:lineRule="exact"/>
        <w:ind w:left="500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0" w:line="317" w:lineRule="exact"/>
        <w:ind w:left="1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1"/>
        </w:numPr>
        <w:widowControl w:val="0"/>
        <w:keepNext w:val="0"/>
        <w:keepLines w:val="0"/>
        <w:shd w:val="clear" w:color="auto" w:fill="auto"/>
        <w:bidi w:val="0"/>
        <w:jc w:val="both"/>
        <w:spacing w:before="0" w:after="0" w:line="317" w:lineRule="exact"/>
        <w:ind w:left="120" w:right="20" w:firstLine="860"/>
      </w:pPr>
      <w:r>
        <w:rPr>
          <w:lang w:val="ru-RU" w:eastAsia="ru-RU" w:bidi="ru-RU"/>
          <w:w w:val="100"/>
          <w:spacing w:val="0"/>
          <w:color w:val="000000"/>
          <w:position w:val="0"/>
        </w:rPr>
        <w:t xml:space="preserve"> Признать Единую комиссию Заказчика нарушившей требования статьей 66, 67 Закона о контрактной системе.</w:t>
      </w:r>
      <w:r>
        <w:br w:type="page"/>
      </w:r>
    </w:p>
    <w:p>
      <w:pPr>
        <w:pStyle w:val="Style7"/>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Единой комиссии Заказчика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№06/4098-17 для рассмотрения вопроса о возбуждении дела об административном правонарушении.</w:t>
      </w:r>
    </w:p>
    <w:p>
      <w:pPr>
        <w:pStyle w:val="Style7"/>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№06/12183.</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8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8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6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tabs>
          <w:tab w:leader="none" w:pos="6215" w:val="left"/>
        </w:tabs>
        <w:widowControl w:val="0"/>
        <w:keepNext w:val="0"/>
        <w:keepLines w:val="0"/>
        <w:shd w:val="clear" w:color="auto" w:fill="auto"/>
        <w:bidi w:val="0"/>
        <w:jc w:val="both"/>
        <w:spacing w:before="0" w:after="0" w:line="260" w:lineRule="exact"/>
        <w:ind w:left="5780" w:right="0" w:firstLine="0"/>
        <w:sectPr>
          <w:type w:val="continuous"/>
          <w:pgSz w:w="11906" w:h="16838"/>
          <w:pgMar w:top="1196" w:left="838" w:right="728" w:bottom="932"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326" w:left="2675" w:right="8128" w:bottom="505"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4"/>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3"/>
        </w:numPr>
        <w:tabs>
          <w:tab w:leader="none" w:pos="1383" w:val="left"/>
        </w:tabs>
        <w:widowControl w:val="0"/>
        <w:keepNext w:val="0"/>
        <w:keepLines w:val="0"/>
        <w:shd w:val="clear" w:color="auto" w:fill="auto"/>
        <w:bidi w:val="0"/>
        <w:jc w:val="left"/>
        <w:spacing w:before="0" w:after="0"/>
        <w:ind w:left="0" w:right="2020" w:firstLine="0"/>
      </w:pPr>
      <w:r>
        <w:rPr>
          <w:lang w:val="ru-RU" w:eastAsia="ru-RU" w:bidi="ru-RU"/>
          <w:w w:val="100"/>
          <w:spacing w:val="0"/>
          <w:color w:val="000000"/>
          <w:position w:val="0"/>
        </w:rPr>
        <w:t>№06/12808 На № 108 от 26.10.2017</w:t>
      </w:r>
    </w:p>
    <w:p>
      <w:pPr>
        <w:pStyle w:val="Style7"/>
        <w:numPr>
          <w:ilvl w:val="0"/>
          <w:numId w:val="15"/>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Государственное унитарное предприятие Республики Крым «Крымгазсети»</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295011, Республика Крым,</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ул. Училищная, д. 42 А</w:t>
      </w:r>
    </w:p>
    <w:p>
      <w:pPr>
        <w:pStyle w:val="Style7"/>
        <w:numPr>
          <w:ilvl w:val="0"/>
          <w:numId w:val="15"/>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1326" w:left="793" w:right="1139" w:bottom="505" w:header="0" w:footer="3" w:gutter="0"/>
          <w:rtlGutter w:val="0"/>
          <w:cols w:num="2" w:space="163"/>
          <w:noEndnote/>
          <w:docGrid w:linePitch="360"/>
        </w:sectPr>
      </w:pPr>
      <w:r>
        <w:rPr>
          <w:lang w:val="ru-RU" w:eastAsia="ru-RU" w:bidi="ru-RU"/>
          <w:w w:val="100"/>
          <w:spacing w:val="0"/>
          <w:color w:val="000000"/>
          <w:position w:val="0"/>
        </w:rPr>
        <w:t>Общество с ограниченной ответственностью «ГермесСтрой» 427960, Удмуртская Республика, г. Сарапул, ул. С. Разина, д. 35а, пом. 4</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5"/>
        </w:numPr>
        <w:tabs>
          <w:tab w:leader="none" w:pos="5343" w:val="left"/>
        </w:tabs>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line="326" w:lineRule="exact"/>
        <w:ind w:left="4980" w:right="90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60" w:line="322" w:lineRule="exact"/>
        <w:ind w:left="4980" w:right="19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№06/4098-17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8128" w:val="center"/>
          <w:tab w:leader="none" w:pos="8347" w:val="left"/>
          <w:tab w:leader="none" w:pos="8150" w:val="left"/>
        </w:tabs>
        <w:widowControl w:val="0"/>
        <w:keepNext w:val="0"/>
        <w:keepLines w:val="0"/>
        <w:shd w:val="clear" w:color="auto" w:fill="auto"/>
        <w:bidi w:val="0"/>
        <w:jc w:val="both"/>
        <w:spacing w:before="0" w:after="73"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229" w:line="322" w:lineRule="exact"/>
        <w:ind w:left="20" w:right="20" w:firstLine="840"/>
      </w:pPr>
      <w:r>
        <w:rPr>
          <w:lang w:val="ru-RU" w:eastAsia="ru-RU" w:bidi="ru-RU"/>
          <w:w w:val="100"/>
          <w:spacing w:val="0"/>
          <w:color w:val="000000"/>
          <w:position w:val="0"/>
        </w:rPr>
        <w:t>на основании решения Комиссии от 03.11.2017 по делу №06/4098-17 по итогам рассмотрения жалобы Заявителя от 26.10.2017 № 108 (вх. №4692/09 от 26.10.2017) на действия Единой комиссии Заказчика при проведении электронного аукциона «Поставка полиэтиленовых фитингов» (номер извещения 0575200000417000216)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center"/>
        <w:spacing w:before="0" w:after="183" w:line="260" w:lineRule="exact"/>
        <w:ind w:left="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1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дату рассмотрения первых частей заявок на участие в Аукционе, дату проведения Аукциона, а также разместить на официальном сайте информацию о дате рассмотрения первых частей заявок на участие в Аукционе и дате проведения Аукциона.</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отменить протокол проведения Аукциона;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Протоколов, Протокола проведения Аукциона, о дате рассмотрения первых частей заявок на участие в Аукционе, дате и времени проведения Аукциона.</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Заказчика рассмотреть первые части заявок, поданных 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03.11.2017 по делу №06/4098-17.</w:t>
      </w:r>
    </w:p>
    <w:p>
      <w:pPr>
        <w:pStyle w:val="Style7"/>
        <w:numPr>
          <w:ilvl w:val="0"/>
          <w:numId w:val="19"/>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Аукциона с порядковым номером заявки «12», то есть с 367 796,08 рублей.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w:t>
        <w:br w:type="page"/>
        <w:t>закупки с порядковым номером заявки «12» считать лу</w:t>
      </w:r>
      <w:r>
        <w:rPr>
          <w:rStyle w:val="CharStyle25"/>
          <w:lang w:val="ru-RU" w:eastAsia="ru-RU" w:bidi="ru-RU"/>
        </w:rPr>
        <w:t>чши</w:t>
      </w:r>
      <w:r>
        <w:rPr>
          <w:lang w:val="ru-RU" w:eastAsia="ru-RU" w:bidi="ru-RU"/>
          <w:w w:val="100"/>
          <w:spacing w:val="0"/>
          <w:color w:val="000000"/>
          <w:position w:val="0"/>
        </w:rPr>
        <w:t>м.</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03.11.2017 по делу №06/4098-17.</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№06/12183.</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37" w:left="908" w:right="778" w:bottom="8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3">
    <w:name w:val="Основной текст"/>
    <w:basedOn w:val="CharStyle8"/>
    <w:rPr>
      <w:lang w:val="en-US" w:eastAsia="en-US" w:bidi="en-US"/>
      <w:u w:val="single"/>
      <w:w w:val="100"/>
      <w:spacing w:val="0"/>
      <w:color w:val="000000"/>
      <w:position w:val="0"/>
    </w:rPr>
  </w:style>
  <w:style w:type="character" w:customStyle="1" w:styleId="CharStyle14">
    <w:name w:val="Основной текст"/>
    <w:basedOn w:val="CharStyle8"/>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Интервал 1 pt"/>
    <w:basedOn w:val="CharStyle8"/>
    <w:rPr>
      <w:lang w:val="ru-RU" w:eastAsia="ru-RU" w:bidi="ru-RU"/>
      <w:w w:val="100"/>
      <w:spacing w:val="30"/>
      <w:color w:val="000000"/>
      <w:position w:val="0"/>
    </w:rPr>
  </w:style>
  <w:style w:type="character" w:customStyle="1" w:styleId="CharStyle18">
    <w:name w:val="Основной текст (5) + Полужирный"/>
    <w:basedOn w:val="CharStyle16"/>
    <w:rPr>
      <w:lang w:val="ru-RU" w:eastAsia="ru-RU" w:bidi="ru-RU"/>
      <w:b/>
      <w:bCs/>
      <w:w w:val="100"/>
      <w:spacing w:val="0"/>
      <w:color w:val="000000"/>
      <w:position w:val="0"/>
    </w:rPr>
  </w:style>
  <w:style w:type="character" w:customStyle="1" w:styleId="CharStyle19">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0">
    <w:name w:val="Основной текст + 10 pt"/>
    <w:basedOn w:val="CharStyle8"/>
    <w:rPr>
      <w:lang w:val="ru-RU" w:eastAsia="ru-RU" w:bidi="ru-RU"/>
      <w:sz w:val="20"/>
      <w:szCs w:val="20"/>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 7,5 pt"/>
    <w:basedOn w:val="CharStyle8"/>
    <w:rPr>
      <w:lang w:val="ru-RU" w:eastAsia="ru-RU" w:bidi="ru-RU"/>
      <w:sz w:val="15"/>
      <w:szCs w:val="15"/>
      <w:w w:val="100"/>
      <w:spacing w:val="0"/>
      <w:color w:val="000000"/>
      <w:position w:val="0"/>
    </w:rPr>
  </w:style>
  <w:style w:type="character" w:customStyle="1" w:styleId="CharStyle24">
    <w:name w:val="Основной текст (2)"/>
    <w:basedOn w:val="CharStyle4"/>
    <w:rPr>
      <w:lang w:val="ru-RU" w:eastAsia="ru-RU" w:bidi="ru-RU"/>
      <w:u w:val="single"/>
      <w:w w:val="100"/>
      <w:spacing w:val="0"/>
      <w:color w:val="000000"/>
      <w:position w:val="0"/>
    </w:rPr>
  </w:style>
  <w:style w:type="character" w:customStyle="1" w:styleId="CharStyle25">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44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