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374" w:left="6032" w:right="4453" w:bottom="374" w:header="0" w:footer="3" w:gutter="0"/>
          <w:rtlGutter w:val="0"/>
          <w:cols w:space="720"/>
          <w:noEndnote/>
          <w:docGrid w:linePitch="360"/>
        </w:sectPr>
      </w:pPr>
      <w:r>
        <w:rPr>
          <w:lang w:val="ru-RU" w:eastAsia="ru-RU" w:bidi="ru-RU"/>
          <w:sz w:val="24"/>
          <w:szCs w:val="24"/>
          <w:w w:val="100"/>
          <w:spacing w:val="0"/>
          <w:color w:val="000000"/>
          <w:position w:val="0"/>
        </w:rPr>
        <w:t>Заказчик:</w:t>
      </w:r>
    </w:p>
    <w:p>
      <w:pPr>
        <w:widowControl w:val="0"/>
        <w:spacing w:line="43"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138"/>
        <w:ind w:left="0" w:right="0" w:firstLine="0"/>
      </w:pPr>
      <w:r>
        <w:rPr>
          <w:rStyle w:val="CharStyle7"/>
        </w:rPr>
        <w:t xml:space="preserve">ФЕДЕРАЛЬНАЯ </w:t>
      </w:r>
      <w:r>
        <w:rPr>
          <w:lang w:val="ru-RU" w:eastAsia="ru-RU" w:bidi="ru-RU"/>
          <w:w w:val="100"/>
          <w:color w:val="000000"/>
          <w:position w:val="0"/>
        </w:rPr>
        <w:t>АНТИМОНОПОЛЬНАЯ СЛУЖБА</w:t>
      </w:r>
    </w:p>
    <w:p>
      <w:pPr>
        <w:pStyle w:val="Style8"/>
        <w:widowControl w:val="0"/>
        <w:keepNext w:val="0"/>
        <w:keepLines w:val="0"/>
        <w:shd w:val="clear" w:color="auto" w:fill="auto"/>
        <w:bidi w:val="0"/>
        <w:spacing w:before="0" w:after="962"/>
        <w:ind w:left="0" w:right="0" w:firstLine="0"/>
      </w:pPr>
      <w:r>
        <w:rPr>
          <w:lang w:val="ru-RU" w:eastAsia="ru-RU" w:bidi="ru-RU"/>
          <w:w w:val="100"/>
          <w:color w:val="000000"/>
          <w:position w:val="0"/>
        </w:rPr>
        <w:t>УПРАВЛЕНИЕ Федеральной ан</w:t>
      </w:r>
      <w:r>
        <w:rPr>
          <w:lang w:val="en-US" w:eastAsia="en-US" w:bidi="en-US"/>
          <w:w w:val="100"/>
          <w:color w:val="000000"/>
          <w:position w:val="0"/>
        </w:rPr>
        <w:t>i</w:t>
      </w:r>
      <w:r>
        <w:rPr>
          <w:lang w:val="ru-RU" w:eastAsia="ru-RU" w:bidi="ru-RU"/>
          <w:w w:val="100"/>
          <w:color w:val="000000"/>
          <w:position w:val="0"/>
        </w:rPr>
        <w:t>имонопольной сл\жоы но Ленинградской области</w:t>
      </w:r>
    </w:p>
    <w:p>
      <w:pPr>
        <w:pStyle w:val="Style10"/>
        <w:widowControl w:val="0"/>
        <w:keepNext/>
        <w:keepLines/>
        <w:shd w:val="clear" w:color="auto" w:fill="auto"/>
        <w:bidi w:val="0"/>
        <w:jc w:val="left"/>
        <w:spacing w:before="0" w:after="0" w:line="380" w:lineRule="exact"/>
        <w:ind w:left="440" w:right="0" w:firstLine="0"/>
      </w:pPr>
      <w:bookmarkStart w:id="0" w:name="bookmark0"/>
      <w:r>
        <w:rPr>
          <w:w w:val="100"/>
          <w:color w:val="000000"/>
          <w:position w:val="0"/>
        </w:rPr>
        <w:t xml:space="preserve">C&amp; H.JjDIJ- </w:t>
      </w:r>
      <w:r>
        <w:rPr>
          <w:rStyle w:val="CharStyle12"/>
          <w:i/>
          <w:iCs/>
        </w:rPr>
        <w:t xml:space="preserve">У </w:t>
      </w:r>
      <w:r>
        <w:rPr>
          <w:w w:val="100"/>
          <w:color w:val="000000"/>
          <w:position w:val="0"/>
        </w:rPr>
        <w:t>P/os/s^Z</w:t>
      </w:r>
      <w:bookmarkEnd w:id="0"/>
    </w:p>
    <w:p>
      <w:pPr>
        <w:pStyle w:val="Style13"/>
        <w:widowControl w:val="0"/>
        <w:keepNext w:val="0"/>
        <w:keepLines w:val="0"/>
        <w:shd w:val="clear" w:color="auto" w:fill="auto"/>
        <w:bidi w:val="0"/>
        <w:jc w:val="left"/>
        <w:spacing w:before="0" w:after="296"/>
        <w:ind w:left="20" w:right="0" w:firstLine="0"/>
      </w:pPr>
      <w:r>
        <w:rPr>
          <w:lang w:val="ru-RU" w:eastAsia="ru-RU" w:bidi="ru-RU"/>
          <w:sz w:val="24"/>
          <w:szCs w:val="24"/>
          <w:w w:val="100"/>
          <w:spacing w:val="0"/>
          <w:color w:val="000000"/>
          <w:position w:val="0"/>
        </w:rPr>
        <w:t>Администрация муниципального образования «Фалилеевское сельского поселение» Муниципального образования «Кингисеппский муниципальный район» Ленинградской области</w:t>
      </w:r>
    </w:p>
    <w:p>
      <w:pPr>
        <w:pStyle w:val="Style13"/>
        <w:widowControl w:val="0"/>
        <w:keepNext w:val="0"/>
        <w:keepLines w:val="0"/>
        <w:shd w:val="clear" w:color="auto" w:fill="auto"/>
        <w:bidi w:val="0"/>
        <w:jc w:val="left"/>
        <w:spacing w:before="0" w:after="0" w:line="322" w:lineRule="exact"/>
        <w:ind w:left="20" w:right="0" w:firstLine="0"/>
      </w:pPr>
      <w:r>
        <w:rPr>
          <w:lang w:val="ru-RU" w:eastAsia="ru-RU" w:bidi="ru-RU"/>
          <w:sz w:val="24"/>
          <w:szCs w:val="24"/>
          <w:w w:val="100"/>
          <w:spacing w:val="0"/>
          <w:color w:val="000000"/>
          <w:position w:val="0"/>
        </w:rPr>
        <w:t>д. Фалилеево,</w:t>
      </w:r>
    </w:p>
    <w:p>
      <w:pPr>
        <w:pStyle w:val="Style13"/>
        <w:widowControl w:val="0"/>
        <w:keepNext w:val="0"/>
        <w:keepLines w:val="0"/>
        <w:shd w:val="clear" w:color="auto" w:fill="auto"/>
        <w:bidi w:val="0"/>
        <w:jc w:val="left"/>
        <w:spacing w:before="0" w:after="0" w:line="322" w:lineRule="exact"/>
        <w:ind w:left="20" w:right="0" w:firstLine="0"/>
      </w:pPr>
      <w:r>
        <w:rPr>
          <w:lang w:val="ru-RU" w:eastAsia="ru-RU" w:bidi="ru-RU"/>
          <w:sz w:val="24"/>
          <w:szCs w:val="24"/>
          <w:w w:val="100"/>
          <w:spacing w:val="0"/>
          <w:color w:val="000000"/>
          <w:position w:val="0"/>
        </w:rPr>
        <w:t>Кингисеппский р-н,</w:t>
      </w:r>
    </w:p>
    <w:p>
      <w:pPr>
        <w:pStyle w:val="Style13"/>
        <w:widowControl w:val="0"/>
        <w:keepNext w:val="0"/>
        <w:keepLines w:val="0"/>
        <w:shd w:val="clear" w:color="auto" w:fill="auto"/>
        <w:bidi w:val="0"/>
        <w:jc w:val="left"/>
        <w:spacing w:before="0" w:after="365" w:line="322" w:lineRule="exact"/>
        <w:ind w:left="20" w:right="0" w:firstLine="0"/>
      </w:pPr>
      <w:r>
        <w:rPr>
          <w:lang w:val="ru-RU" w:eastAsia="ru-RU" w:bidi="ru-RU"/>
          <w:sz w:val="24"/>
          <w:szCs w:val="24"/>
          <w:w w:val="100"/>
          <w:spacing w:val="0"/>
          <w:color w:val="000000"/>
          <w:position w:val="0"/>
        </w:rPr>
        <w:t xml:space="preserve">Ленинградская обл., 188462 тел.: (81375) 66448 </w:t>
      </w:r>
      <w:r>
        <w:rPr>
          <w:lang w:val="en-US" w:eastAsia="en-US" w:bidi="en-US"/>
          <w:sz w:val="24"/>
          <w:szCs w:val="24"/>
          <w:w w:val="100"/>
          <w:spacing w:val="0"/>
          <w:color w:val="000000"/>
          <w:position w:val="0"/>
        </w:rPr>
        <w:t xml:space="preserve">e-mail: </w:t>
      </w:r>
      <w:r>
        <w:fldChar w:fldCharType="begin"/>
      </w:r>
      <w:r>
        <w:rPr>
          <w:color w:val="000000"/>
        </w:rPr>
        <w:instrText> HYPERLINK "mailto:Fsp-07@mail.ru" </w:instrText>
      </w:r>
      <w:r>
        <w:fldChar w:fldCharType="separate"/>
      </w:r>
      <w:r>
        <w:rPr>
          <w:rStyle w:val="Hyperlink"/>
          <w:lang w:val="en-US" w:eastAsia="en-US" w:bidi="en-US"/>
          <w:sz w:val="24"/>
          <w:szCs w:val="24"/>
          <w:w w:val="100"/>
          <w:spacing w:val="0"/>
          <w:position w:val="0"/>
        </w:rPr>
        <w:t>Fsp-07@mail.ru</w:t>
      </w:r>
      <w:r>
        <w:fldChar w:fldCharType="end"/>
      </w:r>
    </w:p>
    <w:p>
      <w:pPr>
        <w:pStyle w:val="Style1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Уполномоченный орган:</w:t>
      </w:r>
    </w:p>
    <w:p>
      <w:pPr>
        <w:pStyle w:val="Style13"/>
        <w:widowControl w:val="0"/>
        <w:keepNext w:val="0"/>
        <w:keepLines w:val="0"/>
        <w:shd w:val="clear" w:color="auto" w:fill="auto"/>
        <w:bidi w:val="0"/>
        <w:jc w:val="left"/>
        <w:spacing w:before="0" w:after="296"/>
        <w:ind w:left="20" w:right="0" w:firstLine="0"/>
      </w:pPr>
      <w:r>
        <w:rPr>
          <w:lang w:val="ru-RU" w:eastAsia="ru-RU" w:bidi="ru-RU"/>
          <w:sz w:val="24"/>
          <w:szCs w:val="24"/>
          <w:w w:val="100"/>
          <w:spacing w:val="0"/>
          <w:color w:val="000000"/>
          <w:position w:val="0"/>
        </w:rPr>
        <w:t>Комитет государственного заказа Ленинградской области</w:t>
      </w:r>
    </w:p>
    <w:p>
      <w:pPr>
        <w:pStyle w:val="Style13"/>
        <w:widowControl w:val="0"/>
        <w:keepNext w:val="0"/>
        <w:keepLines w:val="0"/>
        <w:shd w:val="clear" w:color="auto" w:fill="auto"/>
        <w:bidi w:val="0"/>
        <w:jc w:val="left"/>
        <w:spacing w:before="0" w:after="365" w:line="322" w:lineRule="exact"/>
        <w:ind w:left="20" w:right="0" w:firstLine="0"/>
      </w:pPr>
      <w:r>
        <w:rPr>
          <w:lang w:val="ru-RU" w:eastAsia="ru-RU" w:bidi="ru-RU"/>
          <w:sz w:val="24"/>
          <w:szCs w:val="24"/>
          <w:w w:val="100"/>
          <w:spacing w:val="0"/>
          <w:color w:val="000000"/>
          <w:position w:val="0"/>
        </w:rPr>
        <w:t xml:space="preserve">ул. Смольного, д. 3, лит. А, г. Санкт-Петербург, 191124 тел.: (812) 5795245 </w:t>
      </w:r>
      <w:r>
        <w:rPr>
          <w:lang w:val="en-US" w:eastAsia="en-US" w:bidi="en-US"/>
          <w:sz w:val="24"/>
          <w:szCs w:val="24"/>
          <w:w w:val="100"/>
          <w:spacing w:val="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spacing w:val="0"/>
          <w:position w:val="0"/>
        </w:rPr>
        <w:t>konkurs@lenreg.ru</w:t>
      </w:r>
      <w:r>
        <w:fldChar w:fldCharType="end"/>
      </w:r>
    </w:p>
    <w:p>
      <w:pPr>
        <w:pStyle w:val="Style13"/>
        <w:widowControl w:val="0"/>
        <w:keepNext w:val="0"/>
        <w:keepLines w:val="0"/>
        <w:shd w:val="clear" w:color="auto" w:fill="auto"/>
        <w:bidi w:val="0"/>
        <w:jc w:val="left"/>
        <w:spacing w:before="0" w:after="12" w:line="240" w:lineRule="exact"/>
        <w:ind w:left="20" w:right="0" w:firstLine="0"/>
      </w:pPr>
      <w:r>
        <w:rPr>
          <w:lang w:val="ru-RU" w:eastAsia="ru-RU" w:bidi="ru-RU"/>
          <w:sz w:val="24"/>
          <w:szCs w:val="24"/>
          <w:w w:val="100"/>
          <w:spacing w:val="0"/>
          <w:color w:val="000000"/>
          <w:position w:val="0"/>
        </w:rPr>
        <w:t>Заявитель:</w:t>
      </w:r>
    </w:p>
    <w:p>
      <w:pPr>
        <w:pStyle w:val="Style13"/>
        <w:widowControl w:val="0"/>
        <w:keepNext w:val="0"/>
        <w:keepLines w:val="0"/>
        <w:shd w:val="clear" w:color="auto" w:fill="auto"/>
        <w:bidi w:val="0"/>
        <w:jc w:val="left"/>
        <w:spacing w:before="0" w:after="316" w:line="240" w:lineRule="exact"/>
        <w:ind w:left="20" w:right="0" w:firstLine="0"/>
      </w:pPr>
      <w:r>
        <w:rPr>
          <w:lang w:val="ru-RU" w:eastAsia="ru-RU" w:bidi="ru-RU"/>
          <w:sz w:val="24"/>
          <w:szCs w:val="24"/>
          <w:w w:val="100"/>
          <w:spacing w:val="0"/>
          <w:color w:val="000000"/>
          <w:position w:val="0"/>
        </w:rPr>
        <w:t>ООО «Джи Динамика»</w:t>
      </w:r>
    </w:p>
    <w:p>
      <w:pPr>
        <w:pStyle w:val="Style13"/>
        <w:widowControl w:val="0"/>
        <w:keepNext w:val="0"/>
        <w:keepLines w:val="0"/>
        <w:shd w:val="clear" w:color="auto" w:fill="auto"/>
        <w:bidi w:val="0"/>
        <w:jc w:val="left"/>
        <w:spacing w:before="0" w:after="362"/>
        <w:ind w:left="20" w:right="0" w:firstLine="0"/>
      </w:pPr>
      <w:r>
        <w:rPr>
          <w:lang w:val="ru-RU" w:eastAsia="ru-RU" w:bidi="ru-RU"/>
          <w:sz w:val="24"/>
          <w:szCs w:val="24"/>
          <w:w w:val="100"/>
          <w:spacing w:val="0"/>
          <w:color w:val="000000"/>
          <w:position w:val="0"/>
        </w:rPr>
        <w:t xml:space="preserve">ул. Комсомола, д. 41, лит. А, оф. 630, Санкт-Петербург, 195009 тел.: (812) 3355140 </w:t>
      </w:r>
      <w:r>
        <w:rPr>
          <w:lang w:val="en-US" w:eastAsia="en-US" w:bidi="en-US"/>
          <w:sz w:val="24"/>
          <w:szCs w:val="24"/>
          <w:w w:val="100"/>
          <w:spacing w:val="0"/>
          <w:color w:val="000000"/>
          <w:position w:val="0"/>
        </w:rPr>
        <w:t xml:space="preserve">e-mail: </w:t>
      </w:r>
      <w:r>
        <w:fldChar w:fldCharType="begin"/>
      </w:r>
      <w:r>
        <w:rPr>
          <w:color w:val="000000"/>
        </w:rPr>
        <w:instrText> HYPERLINK "mailto:pr@gdyn.ru" </w:instrText>
      </w:r>
      <w:r>
        <w:fldChar w:fldCharType="separate"/>
      </w:r>
      <w:r>
        <w:rPr>
          <w:rStyle w:val="Hyperlink"/>
          <w:lang w:val="en-US" w:eastAsia="en-US" w:bidi="en-US"/>
          <w:sz w:val="24"/>
          <w:szCs w:val="24"/>
          <w:w w:val="100"/>
          <w:spacing w:val="0"/>
          <w:position w:val="0"/>
        </w:rPr>
        <w:t>pr@gdyn.ru</w:t>
      </w:r>
      <w:r>
        <w:fldChar w:fldCharType="end"/>
      </w:r>
    </w:p>
    <w:p>
      <w:pPr>
        <w:pStyle w:val="Style13"/>
        <w:widowControl w:val="0"/>
        <w:keepNext w:val="0"/>
        <w:keepLines w:val="0"/>
        <w:shd w:val="clear" w:color="auto" w:fill="auto"/>
        <w:bidi w:val="0"/>
        <w:jc w:val="left"/>
        <w:spacing w:before="0" w:after="0" w:line="240" w:lineRule="exact"/>
        <w:ind w:left="20" w:right="0" w:firstLine="0"/>
        <w:sectPr>
          <w:type w:val="continuous"/>
          <w:pgSz w:w="11906" w:h="16838"/>
          <w:pgMar w:top="374" w:left="790" w:right="1116" w:bottom="374" w:header="0" w:footer="3" w:gutter="0"/>
          <w:rtlGutter w:val="0"/>
          <w:cols w:num="2" w:space="494"/>
          <w:noEndnote/>
          <w:docGrid w:linePitch="360"/>
        </w:sectPr>
      </w:pPr>
      <w:r>
        <w:rPr>
          <w:lang w:val="ru-RU" w:eastAsia="ru-RU" w:bidi="ru-RU"/>
          <w:sz w:val="24"/>
          <w:szCs w:val="24"/>
          <w:w w:val="100"/>
          <w:spacing w:val="0"/>
          <w:color w:val="000000"/>
          <w:position w:val="0"/>
        </w:rPr>
        <w:t>извещение № 0145200000417001696</w:t>
      </w:r>
    </w:p>
    <w:p>
      <w:pPr>
        <w:widowControl w:val="0"/>
        <w:spacing w:line="240" w:lineRule="exact"/>
        <w:rPr>
          <w:sz w:val="19"/>
          <w:szCs w:val="19"/>
        </w:rPr>
      </w:pPr>
    </w:p>
    <w:p>
      <w:pPr>
        <w:widowControl w:val="0"/>
        <w:spacing w:before="80" w:after="8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center"/>
        <w:spacing w:before="0" w:after="305" w:line="322" w:lineRule="exact"/>
        <w:ind w:left="26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w:t>
      </w:r>
      <w:r>
        <w:rPr>
          <w:lang w:val="en-US" w:eastAsia="en-US" w:bidi="en-US"/>
          <w:sz w:val="24"/>
          <w:szCs w:val="24"/>
          <w:w w:val="100"/>
          <w:spacing w:val="0"/>
          <w:color w:val="000000"/>
          <w:position w:val="0"/>
        </w:rPr>
        <w:t>330-03-9932-P3/1</w:t>
      </w:r>
      <w:r>
        <w:rPr>
          <w:lang w:val="ru-RU" w:eastAsia="ru-RU" w:bidi="ru-RU"/>
          <w:sz w:val="24"/>
          <w:szCs w:val="24"/>
          <w:w w:val="100"/>
          <w:spacing w:val="0"/>
          <w:color w:val="000000"/>
          <w:position w:val="0"/>
        </w:rPr>
        <w:t>7</w:t>
      </w:r>
    </w:p>
    <w:p>
      <w:pPr>
        <w:pStyle w:val="Style13"/>
        <w:tabs>
          <w:tab w:leader="none" w:pos="9374" w:val="right"/>
        </w:tabs>
        <w:widowControl w:val="0"/>
        <w:keepNext w:val="0"/>
        <w:keepLines w:val="0"/>
        <w:shd w:val="clear" w:color="auto" w:fill="auto"/>
        <w:bidi w:val="0"/>
        <w:jc w:val="both"/>
        <w:spacing w:before="0" w:after="316" w:line="240" w:lineRule="exact"/>
        <w:ind w:left="0" w:right="0" w:firstLine="0"/>
      </w:pPr>
      <w:r>
        <w:rPr>
          <w:lang w:val="ru-RU" w:eastAsia="ru-RU" w:bidi="ru-RU"/>
          <w:sz w:val="24"/>
          <w:szCs w:val="24"/>
          <w:w w:val="100"/>
          <w:spacing w:val="0"/>
          <w:color w:val="000000"/>
          <w:position w:val="0"/>
        </w:rPr>
        <w:t>31 октября 2017 года</w:t>
        <w:tab/>
        <w:t>Санкт-Петербург</w:t>
      </w:r>
    </w:p>
    <w:p>
      <w:pPr>
        <w:pStyle w:val="Style13"/>
        <w:widowControl w:val="0"/>
        <w:keepNext w:val="0"/>
        <w:keepLines w:val="0"/>
        <w:shd w:val="clear" w:color="auto" w:fill="auto"/>
        <w:bidi w:val="0"/>
        <w:jc w:val="left"/>
        <w:spacing w:before="0" w:after="0"/>
        <w:ind w:left="0" w:right="26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13"/>
        <w:widowControl w:val="0"/>
        <w:keepNext w:val="0"/>
        <w:keepLines w:val="0"/>
        <w:shd w:val="clear" w:color="auto" w:fill="auto"/>
        <w:bidi w:val="0"/>
        <w:jc w:val="left"/>
        <w:spacing w:before="0" w:after="0"/>
        <w:ind w:left="0" w:right="260" w:firstLine="70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13"/>
        <w:widowControl w:val="0"/>
        <w:keepNext w:val="0"/>
        <w:keepLines w:val="0"/>
        <w:shd w:val="clear" w:color="auto" w:fill="auto"/>
        <w:bidi w:val="0"/>
        <w:jc w:val="left"/>
        <w:spacing w:before="0" w:after="190"/>
        <w:ind w:left="0" w:right="0" w:firstLine="700"/>
      </w:pPr>
      <w:r>
        <w:rPr>
          <w:lang w:val="ru-RU" w:eastAsia="ru-RU" w:bidi="ru-RU"/>
          <w:sz w:val="24"/>
          <w:szCs w:val="24"/>
          <w:w w:val="100"/>
          <w:spacing w:val="0"/>
          <w:color w:val="000000"/>
          <w:position w:val="0"/>
        </w:rPr>
        <w:t>Хрущ Виктории Дановны - врио начальника отдела контроля закупок,</w:t>
      </w:r>
    </w:p>
    <w:p>
      <w:pPr>
        <w:pStyle w:val="Style15"/>
        <w:widowControl w:val="0"/>
        <w:keepNext/>
        <w:keepLines/>
        <w:shd w:val="clear" w:color="auto" w:fill="auto"/>
        <w:bidi w:val="0"/>
        <w:spacing w:before="0" w:after="0" w:line="380" w:lineRule="exact"/>
        <w:ind w:left="0" w:right="380" w:firstLine="0"/>
      </w:pPr>
      <w:bookmarkStart w:id="1" w:name="bookmark1"/>
      <w:r>
        <w:rPr>
          <w:lang w:val="ru-RU" w:eastAsia="ru-RU" w:bidi="ru-RU"/>
          <w:w w:val="100"/>
          <w:color w:val="000000"/>
          <w:position w:val="0"/>
        </w:rPr>
        <w:t>078859</w:t>
      </w:r>
      <w:bookmarkEnd w:id="1"/>
    </w:p>
    <w:p>
      <w:pPr>
        <w:pStyle w:val="Style1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члена Комиссии,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 xml:space="preserve">Пашедко Анны Дмитриевны - главного специалиста-эксперта отдела </w:t>
      </w:r>
      <w:r>
        <w:rPr>
          <w:rStyle w:val="CharStyle17"/>
        </w:rPr>
        <w:t>контроля закупок, члена Комиссии,</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spacing w:val="0"/>
          <w:color w:val="000000"/>
          <w:position w:val="0"/>
        </w:rPr>
        <w:t>с участием в заседании представителей по доверенностям:</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Администрации муниципального образования «Фалилеевское сельского поселение» Муниципального образования «Кингисеппский муниципальный район» Ленинградской области (далее - Заказчик): Супрунчука Даниила Сергеевич,</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Комитета государственного заказа Ленинградской области (далее - Уполномоченный орган): Базановой Яны Игоревны,</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отсутствие представителей ООО «Джи Динамика» (далее - Заявитель, Общество), уведомленных о времени и месте рассмотрения жалобы надлежащим образом,</w:t>
      </w:r>
    </w:p>
    <w:p>
      <w:pPr>
        <w:pStyle w:val="Style13"/>
        <w:widowControl w:val="0"/>
        <w:keepNext w:val="0"/>
        <w:keepLines w:val="0"/>
        <w:shd w:val="clear" w:color="auto" w:fill="auto"/>
        <w:bidi w:val="0"/>
        <w:jc w:val="both"/>
        <w:spacing w:before="0" w:after="365" w:line="322"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3"/>
        <w:widowControl w:val="0"/>
        <w:keepNext w:val="0"/>
        <w:keepLines w:val="0"/>
        <w:shd w:val="clear" w:color="auto" w:fill="auto"/>
        <w:bidi w:val="0"/>
        <w:jc w:val="center"/>
        <w:spacing w:before="0" w:after="302" w:line="240" w:lineRule="exact"/>
        <w:ind w:left="0" w:right="0" w:firstLine="0"/>
      </w:pPr>
      <w:r>
        <w:rPr>
          <w:lang w:val="ru-RU" w:eastAsia="ru-RU" w:bidi="ru-RU"/>
          <w:sz w:val="24"/>
          <w:szCs w:val="24"/>
          <w:w w:val="100"/>
          <w:spacing w:val="0"/>
          <w:color w:val="000000"/>
          <w:position w:val="0"/>
        </w:rPr>
        <w:t>УСТАНОВИЛА:</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9932 от 26.10.2017) на действия заказчика, уполномоченного органа при проведении открытого конкурса на право заключения контракта на выполнение проектно</w:t>
        <w:softHyphen/>
        <w:t>изыскательных работ по строительству распределительного газопровода для газоснабжения индивидуальных жилых домов в д. Домашово (далее - конкурс).</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 xml:space="preserve">Извещение о проведении открытого конкурса, конкурсная документация размещены Уполномоченным органом 09.10.2017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1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spacing w:val="0"/>
          <w:color w:val="000000"/>
          <w:position w:val="0"/>
        </w:rPr>
        <w:t>Начальная (максимальная) цена контракта 8 054 006,28 рублей.</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Источник финансирования - Бюджет МО «Фалилеевское сельское поселение», Областной бюджет Ленинградской области.</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Из доводов жалобы Общества следует, что конкурсная документация составлена с нарушениями законодательства в части требований по подтверждению нестоимостного критерия оценки «Деловая репутация». Более подробно позиция Заявителя изложена в жалобе, файл с которой размещен на официальном сайте.</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Представители Заказчика, Уполномоченного органа возражали против доводов жалобы, просили признать ее необоснованной. Заказчик также представил письменные возражения по доводам жалобы.</w:t>
      </w:r>
    </w:p>
    <w:p>
      <w:pPr>
        <w:pStyle w:val="Style1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spacing w:val="0"/>
          <w:color w:val="000000"/>
          <w:position w:val="0"/>
        </w:rPr>
        <w:t>На момент рассмотрения жалобы контракт не заключен.</w:t>
      </w:r>
    </w:p>
    <w:p>
      <w:pPr>
        <w:pStyle w:val="Style13"/>
        <w:widowControl w:val="0"/>
        <w:keepNext w:val="0"/>
        <w:keepLines w:val="0"/>
        <w:shd w:val="clear" w:color="auto" w:fill="auto"/>
        <w:bidi w:val="0"/>
        <w:jc w:val="both"/>
        <w:spacing w:before="0" w:after="300" w:line="322"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представителей Заказчика, Уполномоченного органа, Заявителя, Комиссия пришла к следующим выводам.</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частью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Частью 2 рассматриваемой статьи определено,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части 1 статьи 48 Закона о контрактной системе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pPr>
        <w:pStyle w:val="Style13"/>
        <w:widowControl w:val="0"/>
        <w:keepNext w:val="0"/>
        <w:keepLines w:val="0"/>
        <w:shd w:val="clear" w:color="auto" w:fill="auto"/>
        <w:bidi w:val="0"/>
        <w:jc w:val="both"/>
        <w:spacing w:before="0" w:after="0" w:line="336" w:lineRule="exact"/>
        <w:ind w:left="20" w:right="20" w:firstLine="700"/>
      </w:pPr>
      <w:r>
        <w:rPr>
          <w:lang w:val="ru-RU" w:eastAsia="ru-RU" w:bidi="ru-RU"/>
          <w:sz w:val="24"/>
          <w:szCs w:val="24"/>
          <w:w w:val="100"/>
          <w:spacing w:val="0"/>
          <w:color w:val="000000"/>
          <w:position w:val="0"/>
        </w:rPr>
        <w:t xml:space="preserve">В силу пункта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w:t>
      </w:r>
      <w:r>
        <w:rPr>
          <w:rStyle w:val="CharStyle18"/>
        </w:rPr>
        <w:t xml:space="preserve">рассмотрения и оценки заявок на участие в открытом конкурсе в соответствии с </w:t>
      </w:r>
      <w:r>
        <w:rPr>
          <w:lang w:val="ru-RU" w:eastAsia="ru-RU" w:bidi="ru-RU"/>
          <w:sz w:val="24"/>
          <w:szCs w:val="24"/>
          <w:w w:val="100"/>
          <w:spacing w:val="0"/>
          <w:color w:val="000000"/>
          <w:position w:val="0"/>
        </w:rPr>
        <w:t>Законом о контрактной системе.</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пунктом 4 Правил для оценки заявок (предложений) заказчик устанавливает в документации о закупке следующие критерии оценки:</w:t>
      </w:r>
    </w:p>
    <w:p>
      <w:pPr>
        <w:pStyle w:val="Style13"/>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а) стоимостные критерии оценки, в том числе цена контракта;</w:t>
      </w:r>
    </w:p>
    <w:p>
      <w:pPr>
        <w:pStyle w:val="Style13"/>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б) нестоимостные критерии оценки:</w:t>
      </w:r>
    </w:p>
    <w:p>
      <w:pPr>
        <w:pStyle w:val="Style13"/>
        <w:numPr>
          <w:ilvl w:val="0"/>
          <w:numId w:val="1"/>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13"/>
        <w:numPr>
          <w:ilvl w:val="0"/>
          <w:numId w:val="1"/>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Пунктом 10 Правил установлено, что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Кроме того, пунктом 11 правил установлено, что для оценки заявок (предложений) по каждому критерию оценки используется 100-бальная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определения. В случае осуществления закупки, по результатам которой заключается контракт, предусматривающий выполнение строительных работ, заказчик обязан установить показатель «опыт участника по успешной поставке товара, выполнению работ, оказанию услуг сопоставимого характера и объема» критерия «квалификация участника закупки», за исключением случая, предусмотренного пунктом 30 Правил. При этом значимость показателя должна составлять не менее 50 процентов значимости всех нестоимостных критериев оценки.</w:t>
      </w:r>
    </w:p>
    <w:p>
      <w:pPr>
        <w:pStyle w:val="Style13"/>
        <w:widowControl w:val="0"/>
        <w:keepNext w:val="0"/>
        <w:keepLines w:val="0"/>
        <w:shd w:val="clear" w:color="auto" w:fill="auto"/>
        <w:bidi w:val="0"/>
        <w:jc w:val="both"/>
        <w:spacing w:before="0" w:after="0" w:line="341" w:lineRule="exact"/>
        <w:ind w:left="20" w:right="20" w:firstLine="700"/>
      </w:pPr>
      <w:r>
        <w:rPr>
          <w:lang w:val="ru-RU" w:eastAsia="ru-RU" w:bidi="ru-RU"/>
          <w:sz w:val="24"/>
          <w:szCs w:val="24"/>
          <w:w w:val="100"/>
          <w:spacing w:val="0"/>
          <w:color w:val="000000"/>
          <w:position w:val="0"/>
        </w:rPr>
        <w:t>В соответствии с пунктом 29 Правил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pPr>
        <w:pStyle w:val="Style13"/>
        <w:widowControl w:val="0"/>
        <w:keepNext w:val="0"/>
        <w:keepLines w:val="0"/>
        <w:shd w:val="clear" w:color="auto" w:fill="auto"/>
        <w:bidi w:val="0"/>
        <w:jc w:val="both"/>
        <w:spacing w:before="0" w:after="0" w:line="341" w:lineRule="exact"/>
        <w:ind w:left="20" w:right="20" w:firstLine="700"/>
      </w:pPr>
      <w:r>
        <w:rPr>
          <w:lang w:val="ru-RU" w:eastAsia="ru-RU" w:bidi="ru-RU"/>
          <w:sz w:val="24"/>
          <w:szCs w:val="24"/>
          <w:w w:val="100"/>
          <w:spacing w:val="0"/>
          <w:color w:val="000000"/>
          <w:position w:val="0"/>
        </w:rPr>
        <w:t>Иными словами, при представлении определенных сведений участникам закупки и конкурсной комиссии должно быть четко понятно, за какие сведения и какие баллы ими будут присвоены по установленным показателям.</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пункту 3 Правил «оценка» - процесс выявления по критериям оценки и в порядке, установленном в документации о закупке, лучших условий исполнения контракта, указанных в заявках (предложениях) участников закупки, которые не были отклонены.</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Учитывая вышеприведенное, порядок оценки, в целях выявления лучшего условия исполнения контракта, документация о закупке должен включать в себя:</w:t>
      </w:r>
    </w:p>
    <w:p>
      <w:pPr>
        <w:pStyle w:val="Style13"/>
        <w:numPr>
          <w:ilvl w:val="0"/>
          <w:numId w:val="1"/>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 закупки в своих заявках для получения оценки по нестоимостным критериям;</w:t>
      </w:r>
    </w:p>
    <w:p>
      <w:pPr>
        <w:pStyle w:val="Style13"/>
        <w:numPr>
          <w:ilvl w:val="0"/>
          <w:numId w:val="1"/>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(показателям критерия;</w:t>
      </w:r>
    </w:p>
    <w:p>
      <w:pPr>
        <w:pStyle w:val="Style13"/>
        <w:numPr>
          <w:ilvl w:val="0"/>
          <w:numId w:val="1"/>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пропорциональную зависимость (формула расчета количества баллов или шкала оценки) между количеством присваиваемых баллов и представляемыми сведениями по критерию «квалификация участников закупки» (показателям критерия), учитывая, что в отношении сведений, представляемых по указанному критерию возможна количественная оценка;</w:t>
      </w:r>
    </w:p>
    <w:p>
      <w:pPr>
        <w:pStyle w:val="Style13"/>
        <w:numPr>
          <w:ilvl w:val="0"/>
          <w:numId w:val="1"/>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инструкцию по заполнению заявки, позволяющую определить какие именно сведения подлежат описанию и предоставлению участниками закупки для оценки конкурсной комиссией.</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Согласно пункту 13.8 Раздела II конкурной документации при оценке </w:t>
      </w:r>
      <w:r>
        <w:rPr>
          <w:rStyle w:val="CharStyle18"/>
        </w:rPr>
        <w:t>заявок применяются следующие критерии:</w:t>
      </w:r>
    </w:p>
    <w:p>
      <w:pPr>
        <w:pStyle w:val="Style13"/>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Цена контракта. Значимость критерия - 60%;</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закупки) по показателю: Деловая репутация участника закупки. Значимость критерия - 40%.</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Пунктом 13.11. определен порядок оценки заявок по нестоимостным критериям оценки.</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Оценка заявок (предложений)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закупки»).</w:t>
      </w:r>
    </w:p>
    <w:p>
      <w:pPr>
        <w:pStyle w:val="Style1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spacing w:val="0"/>
          <w:color w:val="000000"/>
          <w:position w:val="0"/>
        </w:rPr>
        <w:t>Значимость критерия: 40%</w:t>
      </w:r>
    </w:p>
    <w:p>
      <w:pPr>
        <w:pStyle w:val="Style1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spacing w:val="0"/>
          <w:color w:val="000000"/>
          <w:position w:val="0"/>
        </w:rPr>
        <w:t>Коэффициент значимости критерия оценки - 0,4.</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качестве показателя нестоимостного критерия оценки «квалификация участника закупки» установлен показатель: «Деловая репутация участника закупки».</w:t>
      </w:r>
    </w:p>
    <w:p>
      <w:pPr>
        <w:pStyle w:val="Style1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spacing w:val="0"/>
          <w:color w:val="000000"/>
          <w:position w:val="0"/>
        </w:rPr>
        <w:t>Значимость показателя — 100%.</w:t>
      </w:r>
    </w:p>
    <w:p>
      <w:pPr>
        <w:pStyle w:val="Style1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Деловая репутация участника закупки определяется индексом деловой репутации в соответствии с требованиями ГОСТ Р 66.0.01-2015 «Оценка опыта и деловой репутации субъектов предпринимательской деятельности. Национальная система стандартов. Общие положения, требования и руководящие принципы» и требованиями Стандарта организации Ассоциации аккредитованных лиц в области оценки соответствия Северо-западного Федерального округа СТО ААЛСЗ 66.1.05/С-2017 «Оценка опыта и деловой репутации лиц, осуществляющих архитектурно-строительное проектирование социально значимых объектов» (далее - СТО).</w:t>
      </w:r>
    </w:p>
    <w:p>
      <w:pPr>
        <w:pStyle w:val="Style13"/>
        <w:widowControl w:val="0"/>
        <w:keepNext w:val="0"/>
        <w:keepLines w:val="0"/>
        <w:shd w:val="clear" w:color="auto" w:fill="auto"/>
        <w:bidi w:val="0"/>
        <w:jc w:val="both"/>
        <w:spacing w:before="0" w:after="176" w:line="322" w:lineRule="exact"/>
        <w:ind w:left="20" w:right="20" w:firstLine="700"/>
      </w:pPr>
      <w:r>
        <w:rPr>
          <w:lang w:val="ru-RU" w:eastAsia="ru-RU" w:bidi="ru-RU"/>
          <w:sz w:val="24"/>
          <w:szCs w:val="24"/>
          <w:w w:val="100"/>
          <w:spacing w:val="0"/>
          <w:color w:val="000000"/>
          <w:position w:val="0"/>
        </w:rPr>
        <w:t>При оценке заявки участника закупки по показателю учитывается значение индекса деловой репутации, указанное в сертификате соответствия и оценивается в соответствии со шкалой:</w:t>
      </w:r>
    </w:p>
    <w:tbl>
      <w:tblPr>
        <w:tblOverlap w:val="never"/>
        <w:tblLayout w:type="fixed"/>
        <w:jc w:val="center"/>
      </w:tblPr>
      <w:tblGrid>
        <w:gridCol w:w="4387"/>
        <w:gridCol w:w="5256"/>
      </w:tblGrid>
      <w:tr>
        <w:trPr>
          <w:trHeight w:val="658" w:hRule="exact"/>
        </w:trPr>
        <w:tc>
          <w:tcPr>
            <w:shd w:val="clear" w:color="auto" w:fill="FFFFFF"/>
            <w:tcBorders>
              <w:left w:val="single" w:sz="4"/>
              <w:top w:val="single" w:sz="4"/>
            </w:tcBorders>
            <w:vAlign w:val="bottom"/>
          </w:tcPr>
          <w:p>
            <w:pPr>
              <w:pStyle w:val="Style13"/>
              <w:framePr w:w="9643" w:wrap="notBeside" w:vAnchor="text" w:hAnchor="text" w:xAlign="center" w:y="1"/>
              <w:widowControl w:val="0"/>
              <w:keepNext w:val="0"/>
              <w:keepLines w:val="0"/>
              <w:shd w:val="clear" w:color="auto" w:fill="auto"/>
              <w:bidi w:val="0"/>
              <w:jc w:val="center"/>
              <w:spacing w:before="0" w:after="0" w:line="312" w:lineRule="exact"/>
              <w:ind w:left="0" w:right="0" w:firstLine="0"/>
            </w:pPr>
            <w:r>
              <w:rPr>
                <w:rStyle w:val="CharStyle19"/>
              </w:rPr>
              <w:t>Значение индекса деловой репутации</w:t>
            </w:r>
          </w:p>
        </w:tc>
        <w:tc>
          <w:tcPr>
            <w:shd w:val="clear" w:color="auto" w:fill="FFFFFF"/>
            <w:tcBorders>
              <w:left w:val="single" w:sz="4"/>
              <w:right w:val="single" w:sz="4"/>
              <w:top w:val="single" w:sz="4"/>
            </w:tcBorders>
            <w:vAlign w:val="bottom"/>
          </w:tcPr>
          <w:p>
            <w:pPr>
              <w:pStyle w:val="Style13"/>
              <w:framePr w:w="9643" w:wrap="notBeside" w:vAnchor="text" w:hAnchor="text" w:xAlign="center" w:y="1"/>
              <w:widowControl w:val="0"/>
              <w:keepNext w:val="0"/>
              <w:keepLines w:val="0"/>
              <w:shd w:val="clear" w:color="auto" w:fill="auto"/>
              <w:bidi w:val="0"/>
              <w:jc w:val="center"/>
              <w:spacing w:before="0" w:after="0" w:line="307" w:lineRule="exact"/>
              <w:ind w:left="0" w:right="0" w:firstLine="0"/>
            </w:pPr>
            <w:r>
              <w:rPr>
                <w:rStyle w:val="CharStyle19"/>
              </w:rPr>
              <w:t>Количество баллов по показателю деловая репутация участника закупки</w:t>
            </w:r>
          </w:p>
        </w:tc>
      </w:tr>
      <w:tr>
        <w:trPr>
          <w:trHeight w:val="346" w:hRule="exact"/>
        </w:trPr>
        <w:tc>
          <w:tcPr>
            <w:shd w:val="clear" w:color="auto" w:fill="FFFFFF"/>
            <w:tcBorders>
              <w:left w:val="single" w:sz="4"/>
              <w:top w:val="single" w:sz="4"/>
            </w:tcBorders>
            <w:vAlign w:val="center"/>
          </w:tcPr>
          <w:p>
            <w:pPr>
              <w:pStyle w:val="Style13"/>
              <w:framePr w:w="964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9"/>
              </w:rPr>
              <w:t>от 80 и выше</w:t>
            </w:r>
          </w:p>
        </w:tc>
        <w:tc>
          <w:tcPr>
            <w:shd w:val="clear" w:color="auto" w:fill="FFFFFF"/>
            <w:tcBorders>
              <w:left w:val="single" w:sz="4"/>
              <w:right w:val="single" w:sz="4"/>
              <w:top w:val="single" w:sz="4"/>
            </w:tcBorders>
            <w:vAlign w:val="bottom"/>
          </w:tcPr>
          <w:p>
            <w:pPr>
              <w:pStyle w:val="Style13"/>
              <w:framePr w:w="964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9"/>
              </w:rPr>
              <w:t>100</w:t>
            </w:r>
          </w:p>
        </w:tc>
      </w:tr>
      <w:tr>
        <w:trPr>
          <w:trHeight w:val="341" w:hRule="exact"/>
        </w:trPr>
        <w:tc>
          <w:tcPr>
            <w:shd w:val="clear" w:color="auto" w:fill="FFFFFF"/>
            <w:tcBorders>
              <w:left w:val="single" w:sz="4"/>
              <w:top w:val="single" w:sz="4"/>
            </w:tcBorders>
            <w:vAlign w:val="bottom"/>
          </w:tcPr>
          <w:p>
            <w:pPr>
              <w:pStyle w:val="Style13"/>
              <w:framePr w:w="964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9"/>
              </w:rPr>
              <w:t>от 70 менее 80</w:t>
            </w:r>
          </w:p>
        </w:tc>
        <w:tc>
          <w:tcPr>
            <w:shd w:val="clear" w:color="auto" w:fill="FFFFFF"/>
            <w:tcBorders>
              <w:left w:val="single" w:sz="4"/>
              <w:right w:val="single" w:sz="4"/>
              <w:top w:val="single" w:sz="4"/>
            </w:tcBorders>
            <w:vAlign w:val="bottom"/>
          </w:tcPr>
          <w:p>
            <w:pPr>
              <w:pStyle w:val="Style13"/>
              <w:framePr w:w="964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9"/>
              </w:rPr>
              <w:t>50</w:t>
            </w:r>
          </w:p>
        </w:tc>
      </w:tr>
      <w:tr>
        <w:trPr>
          <w:trHeight w:val="336" w:hRule="exact"/>
        </w:trPr>
        <w:tc>
          <w:tcPr>
            <w:shd w:val="clear" w:color="auto" w:fill="FFFFFF"/>
            <w:tcBorders>
              <w:left w:val="single" w:sz="4"/>
              <w:top w:val="single" w:sz="4"/>
            </w:tcBorders>
            <w:vAlign w:val="bottom"/>
          </w:tcPr>
          <w:p>
            <w:pPr>
              <w:pStyle w:val="Style13"/>
              <w:framePr w:w="964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9"/>
              </w:rPr>
              <w:t>от 60 менее 70</w:t>
            </w:r>
          </w:p>
        </w:tc>
        <w:tc>
          <w:tcPr>
            <w:shd w:val="clear" w:color="auto" w:fill="FFFFFF"/>
            <w:tcBorders>
              <w:left w:val="single" w:sz="4"/>
              <w:right w:val="single" w:sz="4"/>
              <w:top w:val="single" w:sz="4"/>
            </w:tcBorders>
            <w:vAlign w:val="bottom"/>
          </w:tcPr>
          <w:p>
            <w:pPr>
              <w:pStyle w:val="Style13"/>
              <w:framePr w:w="964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9"/>
              </w:rPr>
              <w:t>25</w:t>
            </w:r>
          </w:p>
        </w:tc>
      </w:tr>
      <w:tr>
        <w:trPr>
          <w:trHeight w:val="336" w:hRule="exact"/>
        </w:trPr>
        <w:tc>
          <w:tcPr>
            <w:shd w:val="clear" w:color="auto" w:fill="FFFFFF"/>
            <w:tcBorders>
              <w:left w:val="single" w:sz="4"/>
              <w:top w:val="single" w:sz="4"/>
            </w:tcBorders>
            <w:vAlign w:val="bottom"/>
          </w:tcPr>
          <w:p>
            <w:pPr>
              <w:pStyle w:val="Style13"/>
              <w:framePr w:w="964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9"/>
              </w:rPr>
              <w:t>от 50 менее 60</w:t>
            </w:r>
          </w:p>
        </w:tc>
        <w:tc>
          <w:tcPr>
            <w:shd w:val="clear" w:color="auto" w:fill="FFFFFF"/>
            <w:tcBorders>
              <w:left w:val="single" w:sz="4"/>
              <w:right w:val="single" w:sz="4"/>
              <w:top w:val="single" w:sz="4"/>
            </w:tcBorders>
            <w:vAlign w:val="bottom"/>
          </w:tcPr>
          <w:p>
            <w:pPr>
              <w:pStyle w:val="Style13"/>
              <w:framePr w:w="964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9"/>
              </w:rPr>
              <w:t>12,5</w:t>
            </w:r>
          </w:p>
        </w:tc>
      </w:tr>
      <w:tr>
        <w:trPr>
          <w:trHeight w:val="658" w:hRule="exact"/>
        </w:trPr>
        <w:tc>
          <w:tcPr>
            <w:shd w:val="clear" w:color="auto" w:fill="FFFFFF"/>
            <w:tcBorders>
              <w:left w:val="single" w:sz="4"/>
              <w:top w:val="single" w:sz="4"/>
              <w:bottom w:val="single" w:sz="4"/>
            </w:tcBorders>
            <w:vAlign w:val="bottom"/>
          </w:tcPr>
          <w:p>
            <w:pPr>
              <w:pStyle w:val="Style13"/>
              <w:framePr w:w="9643" w:wrap="notBeside" w:vAnchor="text" w:hAnchor="text" w:xAlign="center" w:y="1"/>
              <w:widowControl w:val="0"/>
              <w:keepNext w:val="0"/>
              <w:keepLines w:val="0"/>
              <w:shd w:val="clear" w:color="auto" w:fill="auto"/>
              <w:bidi w:val="0"/>
              <w:jc w:val="center"/>
              <w:spacing w:before="0" w:after="0" w:line="307" w:lineRule="exact"/>
              <w:ind w:left="0" w:right="0" w:firstLine="0"/>
            </w:pPr>
            <w:r>
              <w:rPr>
                <w:rStyle w:val="CharStyle19"/>
              </w:rPr>
              <w:t>Ниже 50 (либо отсутствие сертификата)</w:t>
            </w:r>
          </w:p>
        </w:tc>
        <w:tc>
          <w:tcPr>
            <w:shd w:val="clear" w:color="auto" w:fill="FFFFFF"/>
            <w:tcBorders>
              <w:left w:val="single" w:sz="4"/>
              <w:right w:val="single" w:sz="4"/>
              <w:top w:val="single" w:sz="4"/>
              <w:bottom w:val="single" w:sz="4"/>
            </w:tcBorders>
            <w:vAlign w:val="center"/>
          </w:tcPr>
          <w:p>
            <w:pPr>
              <w:pStyle w:val="Style13"/>
              <w:framePr w:w="964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9"/>
              </w:rPr>
              <w:t>0</w:t>
            </w:r>
          </w:p>
        </w:tc>
      </w:tr>
    </w:tbl>
    <w:p>
      <w:pPr>
        <w:widowControl w:val="0"/>
        <w:rPr>
          <w:sz w:val="2"/>
          <w:szCs w:val="2"/>
        </w:rPr>
      </w:pPr>
    </w:p>
    <w:p>
      <w:pPr>
        <w:pStyle w:val="Style13"/>
        <w:widowControl w:val="0"/>
        <w:keepNext w:val="0"/>
        <w:keepLines w:val="0"/>
        <w:shd w:val="clear" w:color="auto" w:fill="auto"/>
        <w:bidi w:val="0"/>
        <w:jc w:val="both"/>
        <w:spacing w:before="174" w:after="0"/>
        <w:ind w:left="20" w:right="20" w:firstLine="700"/>
      </w:pPr>
      <w:r>
        <w:rPr>
          <w:lang w:val="ru-RU" w:eastAsia="ru-RU" w:bidi="ru-RU"/>
          <w:sz w:val="24"/>
          <w:szCs w:val="24"/>
          <w:w w:val="100"/>
          <w:spacing w:val="0"/>
          <w:color w:val="000000"/>
          <w:position w:val="0"/>
        </w:rPr>
        <w:t>Индекс деловой репутации участника закупки подтверждается предоставлением копии сертификата со всеми приложениями, выданного в соответствии с требованиями ГОСТ Р 66.0.01-2015 и требованиями СТО. Индекс деловой репутации должен быть актуальным на дату подачи заявки на участие в конкурсе.</w:t>
      </w:r>
    </w:p>
    <w:p>
      <w:pPr>
        <w:pStyle w:val="Style13"/>
        <w:tabs>
          <w:tab w:leader="none" w:pos="2919" w:val="left"/>
          <w:tab w:leader="none" w:pos="4196" w:val="left"/>
          <w:tab w:leader="none" w:pos="5972" w:val="right"/>
          <w:tab w:leader="none" w:pos="7503" w:val="right"/>
          <w:tab w:leader="none" w:pos="9639" w:val="right"/>
        </w:tabs>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Сертификат соответствия должен быть выдан лицом, допущенным в систему добровольной сертификации, зарегистрированную в едином реестре зарегистрированных систем добровольной сертификации в соответствии с законодательством Российской Федерации о техническом регулировании (Федеральный закон от 27.12.2002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184-ФЗ «О техническом регулировании»). Сведения о системе добровольной сертификации должны содержаться в едином реестре зарегистрированных систем добровольной сертификации, расположенном</w:t>
        <w:tab/>
        <w:t>на</w:t>
        <w:tab/>
        <w:t>сайте</w:t>
        <w:tab/>
        <w:t>в</w:t>
        <w:tab/>
        <w:t>сети</w:t>
        <w:tab/>
        <w:t>Интернет</w:t>
      </w:r>
    </w:p>
    <w:p>
      <w:pPr>
        <w:pStyle w:val="Style13"/>
        <w:widowControl w:val="0"/>
        <w:keepNext w:val="0"/>
        <w:keepLines w:val="0"/>
        <w:shd w:val="clear" w:color="auto" w:fill="auto"/>
        <w:bidi w:val="0"/>
        <w:jc w:val="left"/>
        <w:spacing w:before="0" w:after="0"/>
        <w:ind w:left="20" w:right="20" w:firstLine="0"/>
      </w:pPr>
      <w:r>
        <w:rPr>
          <w:lang w:val="en-US" w:eastAsia="en-US" w:bidi="en-US"/>
          <w:sz w:val="24"/>
          <w:szCs w:val="24"/>
          <w:w w:val="100"/>
          <w:spacing w:val="0"/>
          <w:color w:val="000000"/>
          <w:position w:val="0"/>
        </w:rPr>
        <w:t>(</w:t>
      </w:r>
      <w:r>
        <w:fldChar w:fldCharType="begin"/>
      </w:r>
      <w:r>
        <w:rPr>
          <w:color w:val="000000"/>
        </w:rPr>
        <w:instrText> HYPERLINK "http://www.gost.ru/wps/portal/pages/directions/confirrnationyvoluntaryvalidation" </w:instrText>
      </w:r>
      <w:r>
        <w:fldChar w:fldCharType="separate"/>
      </w:r>
      <w:r>
        <w:rPr>
          <w:rStyle w:val="Hyperlink"/>
          <w:lang w:val="en-US" w:eastAsia="en-US" w:bidi="en-US"/>
          <w:sz w:val="24"/>
          <w:szCs w:val="24"/>
          <w:w w:val="100"/>
          <w:spacing w:val="0"/>
          <w:position w:val="0"/>
        </w:rPr>
        <w:t>http://www.gost.ru/wps/portal/pages/directions/confirrnationyvoluntaryvalidation</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Лицо, допущенное в систему добровольной сертификации, должно иметь</w:t>
      </w:r>
    </w:p>
    <w:p>
      <w:pPr>
        <w:pStyle w:val="Style13"/>
        <w:widowControl w:val="0"/>
        <w:keepNext w:val="0"/>
        <w:keepLines w:val="0"/>
        <w:shd w:val="clear" w:color="auto" w:fill="auto"/>
        <w:bidi w:val="0"/>
        <w:jc w:val="both"/>
        <w:spacing w:before="0" w:after="0" w:line="326" w:lineRule="exact"/>
        <w:ind w:left="20" w:right="20" w:firstLine="0"/>
      </w:pPr>
      <w:r>
        <w:rPr>
          <w:lang w:val="ru-RU" w:eastAsia="ru-RU" w:bidi="ru-RU"/>
          <w:sz w:val="24"/>
          <w:szCs w:val="24"/>
          <w:w w:val="100"/>
          <w:spacing w:val="0"/>
          <w:color w:val="000000"/>
          <w:position w:val="0"/>
        </w:rPr>
        <w:t xml:space="preserve">свидетельство о допуске к проведению работ по подтверждению соответствия в установленном СТО порядке, о чем должна содержаться запись в реестре лиц, допущенных к проведению работ по подтверждению соответствия, расположенном на сайте в сети Интернет </w:t>
      </w:r>
      <w:r>
        <w:rPr>
          <w:lang w:val="en-US" w:eastAsia="en-US" w:bidi="en-US"/>
          <w:sz w:val="24"/>
          <w:szCs w:val="24"/>
          <w:w w:val="100"/>
          <w:spacing w:val="0"/>
          <w:color w:val="000000"/>
          <w:position w:val="0"/>
        </w:rPr>
        <w:t>(</w:t>
      </w:r>
      <w:r>
        <w:fldChar w:fldCharType="begin"/>
      </w:r>
      <w:r>
        <w:rPr>
          <w:color w:val="000000"/>
        </w:rPr>
        <w:instrText> HYPERLINK "http://souzal.ru/standarti/" </w:instrText>
      </w:r>
      <w:r>
        <w:fldChar w:fldCharType="separate"/>
      </w:r>
      <w:r>
        <w:rPr>
          <w:rStyle w:val="Hyperlink"/>
          <w:lang w:val="en-US" w:eastAsia="en-US" w:bidi="en-US"/>
          <w:sz w:val="24"/>
          <w:szCs w:val="24"/>
          <w:w w:val="100"/>
          <w:spacing w:val="0"/>
          <w:position w:val="0"/>
        </w:rPr>
        <w:t>http://souzal.ru/standarti/</w:t>
      </w:r>
      <w:r>
        <w:fldChar w:fldCharType="end"/>
      </w:r>
      <w:r>
        <w:rPr>
          <w:lang w:val="en-US" w:eastAsia="en-US" w:bidi="en-US"/>
          <w:sz w:val="24"/>
          <w:szCs w:val="24"/>
          <w:w w:val="100"/>
          <w:spacing w:val="0"/>
          <w:color w:val="000000"/>
          <w:position w:val="0"/>
        </w:rPr>
        <w:t>).</w:t>
      </w:r>
    </w:p>
    <w:p>
      <w:pPr>
        <w:pStyle w:val="Style3"/>
        <w:widowControl w:val="0"/>
        <w:keepNext w:val="0"/>
        <w:keepLines w:val="0"/>
        <w:shd w:val="clear" w:color="auto" w:fill="auto"/>
        <w:bidi w:val="0"/>
        <w:jc w:val="both"/>
        <w:spacing w:before="0" w:after="0" w:line="326" w:lineRule="exact"/>
        <w:ind w:left="20" w:right="20" w:firstLine="700"/>
      </w:pPr>
      <w:r>
        <w:rPr>
          <w:lang w:val="ru-RU" w:eastAsia="ru-RU" w:bidi="ru-RU"/>
          <w:sz w:val="24"/>
          <w:szCs w:val="24"/>
          <w:w w:val="100"/>
          <w:spacing w:val="0"/>
          <w:color w:val="000000"/>
          <w:position w:val="0"/>
        </w:rPr>
        <w:t>Сертификат должен быть выдан в результате оценки деловой репутации участника закупки по следующему виду работ в соответствии с Общероссийским классификатором видов экономической деятельности ОК 029-2014 (КДЕС ред.2):</w:t>
      </w:r>
    </w:p>
    <w:p>
      <w:pPr>
        <w:pStyle w:val="Style3"/>
        <w:tabs>
          <w:tab w:leader="none" w:pos="1738" w:val="center"/>
          <w:tab w:leader="none" w:pos="3691" w:val="right"/>
          <w:tab w:leader="none" w:pos="3941" w:val="right"/>
          <w:tab w:leader="none" w:pos="4997" w:val="right"/>
          <w:tab w:leader="none" w:pos="6821" w:val="right"/>
        </w:tabs>
        <w:widowControl w:val="0"/>
        <w:keepNext w:val="0"/>
        <w:keepLines w:val="0"/>
        <w:shd w:val="clear" w:color="auto" w:fill="auto"/>
        <w:bidi w:val="0"/>
        <w:jc w:val="both"/>
        <w:spacing w:before="0" w:after="248" w:line="326" w:lineRule="exact"/>
        <w:ind w:left="20" w:right="0" w:firstLine="700"/>
      </w:pPr>
      <w:r>
        <w:rPr>
          <w:lang w:val="ru-RU" w:eastAsia="ru-RU" w:bidi="ru-RU"/>
          <w:sz w:val="24"/>
          <w:szCs w:val="24"/>
          <w:w w:val="100"/>
          <w:spacing w:val="0"/>
          <w:color w:val="000000"/>
          <w:position w:val="0"/>
        </w:rPr>
        <w:t>71.11</w:t>
        <w:tab/>
        <w:t>-</w:t>
        <w:tab/>
        <w:t>«Деятельность</w:t>
        <w:tab/>
        <w:t>в</w:t>
        <w:tab/>
        <w:t>области</w:t>
        <w:tab/>
        <w:t>архитектуры?</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При отсутствии у участника закупки деловой репутации, выраженной индексом деловой репутации организации, рассчитанным по требованиям ГОСТ Р 66.0.01-2015 и требованиями СТО, заявке участника закупки по данному показателю присваивается 0 баллов.</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случае несоответствия, разночтения сведений в представленных документах при определении количества баллов по данному показателю, такие сведения не учитываются.</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Отсутствие документов, подтверждающих квалификацию участников закупки, не является основанием для отклонения заявки участника.</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Для получения рейтинга заявки по данному показателю количество баллов, присуждаемых </w:t>
      </w:r>
      <w:r>
        <w:rPr>
          <w:lang w:val="en-US" w:eastAsia="en-US" w:bidi="en-US"/>
          <w:sz w:val="24"/>
          <w:szCs w:val="24"/>
          <w:w w:val="100"/>
          <w:spacing w:val="0"/>
          <w:color w:val="000000"/>
          <w:position w:val="0"/>
        </w:rPr>
        <w:t>i</w:t>
      </w:r>
      <w:r>
        <w:rPr>
          <w:lang w:val="ru-RU" w:eastAsia="ru-RU" w:bidi="ru-RU"/>
          <w:sz w:val="24"/>
          <w:szCs w:val="24"/>
          <w:w w:val="100"/>
          <w:spacing w:val="0"/>
          <w:color w:val="000000"/>
          <w:position w:val="0"/>
        </w:rPr>
        <w:t>-й заявке по указанному показателю, умножается на коэффициент значимости.</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На основании результатов оценки и сопоставления заявок (предложений) конкурсной комиссией каждой заявке (предложению) относительно других по мере уменьшения степени выгодности содержащихся в них условий исполнения контракта присваивается порядковый номер. Заявке (предложению), в которой содержатся лучшие условия исполнения контракта, выраженные в баллах, присваивается первый номер. В случае, если в нескольких заявках (предложениях) на участие в закупке содержатся одинаковые условия исполнения контракта, меньший порядковый номер присваивается заявке (предложению), которая поступила ранее других, содержащих такие условия.</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Победителем закупки признается участник закупки, который предложил лучшие условия исполнения контракта на основе критериев, указанных в конкурсной документации, и заявке (предложению) на участие в закупке, которого присвоен первый номер.</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Заявитель полагает, что указанные показатели нестоимостного критерия оценки не соответствуют нормам статьи 32 Закона о контрактной системе, поскольку приводят к ограничению конкуренции.</w:t>
      </w:r>
    </w:p>
    <w:p>
      <w:pPr>
        <w:pStyle w:val="Style1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Между тем, Комиссия, проанализировав спорные положения конкурсной документации, усматривает, что приведенная позиция Заявителя ей не соответствует. В рассматриваемом случае представление участниками сертификата индекса деловой репутации является не требованием к участию, а критерием оценки заявки. В случае непредставления сертификата заявке участника присваивается 0 баллов по данному показателю.</w:t>
      </w:r>
    </w:p>
    <w:p>
      <w:pPr>
        <w:pStyle w:val="Style13"/>
        <w:widowControl w:val="0"/>
        <w:keepNext w:val="0"/>
        <w:keepLines w:val="0"/>
        <w:shd w:val="clear" w:color="auto" w:fill="auto"/>
        <w:bidi w:val="0"/>
        <w:jc w:val="both"/>
        <w:spacing w:before="0" w:after="0" w:line="326" w:lineRule="exact"/>
        <w:ind w:left="0" w:right="20" w:firstLine="700"/>
      </w:pPr>
      <w:r>
        <w:rPr>
          <w:lang w:val="ru-RU" w:eastAsia="ru-RU" w:bidi="ru-RU"/>
          <w:sz w:val="24"/>
          <w:szCs w:val="24"/>
          <w:w w:val="100"/>
          <w:spacing w:val="0"/>
          <w:color w:val="000000"/>
          <w:position w:val="0"/>
        </w:rPr>
        <w:t>Довод Заявителя о том, что требование о наличии индекса деловой репутации, рассчитанного аккредитованной организацией, также не соответствует положениям Закона о контрактной системе, Комиссия не принимает, так как в нарушение положений части 1, пункта 4 части 8, части 9 статьи 105 Закона о контрактной системе доказательств данному доводу Заявителем не приведено.</w:t>
      </w:r>
    </w:p>
    <w:p>
      <w:pPr>
        <w:pStyle w:val="Style13"/>
        <w:widowControl w:val="0"/>
        <w:keepNext w:val="0"/>
        <w:keepLines w:val="0"/>
        <w:shd w:val="clear" w:color="auto" w:fill="auto"/>
        <w:bidi w:val="0"/>
        <w:jc w:val="both"/>
        <w:spacing w:before="0" w:after="0" w:line="326" w:lineRule="exact"/>
        <w:ind w:left="0" w:right="20" w:firstLine="700"/>
      </w:pPr>
      <w:r>
        <w:rPr>
          <w:lang w:val="ru-RU" w:eastAsia="ru-RU" w:bidi="ru-RU"/>
          <w:sz w:val="24"/>
          <w:szCs w:val="24"/>
          <w:w w:val="100"/>
          <w:spacing w:val="0"/>
          <w:color w:val="000000"/>
          <w:position w:val="0"/>
        </w:rPr>
        <w:t>При данных обстоятельствах доводы жалобы Заявителя не нашли своего подтверждения.</w:t>
      </w:r>
    </w:p>
    <w:p>
      <w:pPr>
        <w:pStyle w:val="Style13"/>
        <w:widowControl w:val="0"/>
        <w:keepNext w:val="0"/>
        <w:keepLines w:val="0"/>
        <w:shd w:val="clear" w:color="auto" w:fill="auto"/>
        <w:bidi w:val="0"/>
        <w:jc w:val="both"/>
        <w:spacing w:before="0" w:after="0" w:line="379" w:lineRule="exact"/>
        <w:ind w:left="0" w:right="20" w:firstLine="700"/>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Комиссия</w:t>
      </w:r>
    </w:p>
    <w:p>
      <w:pPr>
        <w:pStyle w:val="Style13"/>
        <w:widowControl w:val="0"/>
        <w:keepNext w:val="0"/>
        <w:keepLines w:val="0"/>
        <w:shd w:val="clear" w:color="auto" w:fill="auto"/>
        <w:bidi w:val="0"/>
        <w:jc w:val="center"/>
        <w:spacing w:before="0" w:after="58" w:line="240" w:lineRule="exact"/>
        <w:ind w:left="0" w:right="0" w:firstLine="0"/>
      </w:pPr>
      <w:r>
        <w:rPr>
          <w:lang w:val="ru-RU" w:eastAsia="ru-RU" w:bidi="ru-RU"/>
          <w:sz w:val="24"/>
          <w:szCs w:val="24"/>
          <w:w w:val="100"/>
          <w:spacing w:val="0"/>
          <w:color w:val="000000"/>
          <w:position w:val="0"/>
        </w:rPr>
        <w:t>РЕШИЛА:</w:t>
      </w:r>
    </w:p>
    <w:p>
      <w:pPr>
        <w:pStyle w:val="Style20"/>
        <w:widowControl w:val="0"/>
        <w:keepNext w:val="0"/>
        <w:keepLines w:val="0"/>
        <w:shd w:val="clear" w:color="auto" w:fill="auto"/>
        <w:bidi w:val="0"/>
        <w:jc w:val="left"/>
        <w:spacing w:before="0" w:after="0"/>
        <w:ind w:left="720" w:right="20" w:firstLine="620"/>
        <w:sectPr>
          <w:type w:val="continuous"/>
          <w:pgSz w:w="11906" w:h="16838"/>
          <w:pgMar w:top="865" w:left="795" w:right="795" w:bottom="621" w:header="0" w:footer="3" w:gutter="442"/>
          <w:rtlGutter w:val="0"/>
          <w:cols w:space="720"/>
          <w:noEndnote/>
          <w:docGrid w:linePitch="360"/>
        </w:sectPr>
      </w:pPr>
      <w:r>
        <w:rPr>
          <w:rStyle w:val="CharStyle22"/>
          <w:i w:val="0"/>
          <w:iCs w:val="0"/>
        </w:rPr>
        <w:t xml:space="preserve">Признать жалобу ООО «Джи Динамика» необоснованной. </w:t>
      </w:r>
      <w:r>
        <w:rPr>
          <w:lang w:val="ru-RU" w:eastAsia="ru-RU" w:bidi="ru-RU"/>
          <w:w w:val="100"/>
          <w:spacing w:val="0"/>
          <w:color w:val="000000"/>
          <w:position w:val="0"/>
        </w:rPr>
        <w:t>Настоящее решение может быть обжаловано в судебном порядке в</w:t>
      </w:r>
    </w:p>
    <w:p>
      <w:pPr>
        <w:pStyle w:val="Style20"/>
        <w:widowControl w:val="0"/>
        <w:keepNext w:val="0"/>
        <w:keepLines w:val="0"/>
        <w:shd w:val="clear" w:color="auto" w:fill="auto"/>
        <w:bidi w:val="0"/>
        <w:jc w:val="left"/>
        <w:spacing w:before="0" w:after="368" w:line="260" w:lineRule="exact"/>
        <w:ind w:left="0" w:right="0" w:firstLine="0"/>
      </w:pPr>
      <w:r>
        <w:rPr>
          <w:lang w:val="ru-RU" w:eastAsia="ru-RU" w:bidi="ru-RU"/>
          <w:w w:val="100"/>
          <w:spacing w:val="0"/>
          <w:color w:val="000000"/>
          <w:position w:val="0"/>
        </w:rPr>
        <w:t>течение трех месяцев со дня принятия.</w:t>
      </w:r>
    </w:p>
    <w:p>
      <w:pPr>
        <w:pStyle w:val="Style13"/>
        <w:widowControl w:val="0"/>
        <w:keepNext w:val="0"/>
        <w:keepLines w:val="0"/>
        <w:shd w:val="clear" w:color="auto" w:fill="auto"/>
        <w:bidi w:val="0"/>
        <w:jc w:val="left"/>
        <w:spacing w:before="0" w:after="672" w:line="240" w:lineRule="exact"/>
        <w:ind w:left="0" w:right="0" w:firstLine="0"/>
      </w:pPr>
      <w:r>
        <w:rPr>
          <w:lang w:val="ru-RU" w:eastAsia="ru-RU" w:bidi="ru-RU"/>
          <w:sz w:val="24"/>
          <w:szCs w:val="24"/>
          <w:w w:val="100"/>
          <w:spacing w:val="0"/>
          <w:color w:val="000000"/>
          <w:position w:val="0"/>
        </w:rPr>
        <w:t>Председатель Комиссии</w:t>
      </w:r>
    </w:p>
    <w:p>
      <w:pPr>
        <w:pStyle w:val="Style1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4524" w:left="1148" w:right="5641" w:bottom="50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7">
    <w:name w:val="Основной текст (3)"/>
    <w:basedOn w:val="CharStyle6"/>
    <w:rPr>
      <w:lang w:val="ru-RU" w:eastAsia="ru-RU" w:bidi="ru-RU"/>
      <w:w w:val="100"/>
      <w:color w:val="000000"/>
      <w:position w:val="0"/>
    </w:rPr>
  </w:style>
  <w:style w:type="character" w:customStyle="1" w:styleId="CharStyle9">
    <w:name w:val="Основной текст (4)_"/>
    <w:basedOn w:val="DefaultParagraphFont"/>
    <w:link w:val="Style8"/>
    <w:rPr>
      <w:b w:val="0"/>
      <w:bCs w:val="0"/>
      <w:i w:val="0"/>
      <w:iCs w:val="0"/>
      <w:u w:val="none"/>
      <w:strike w:val="0"/>
      <w:smallCaps w:val="0"/>
      <w:sz w:val="22"/>
      <w:szCs w:val="22"/>
      <w:rFonts w:ascii="Times New Roman" w:eastAsia="Times New Roman" w:hAnsi="Times New Roman" w:cs="Times New Roman"/>
      <w:spacing w:val="20"/>
    </w:rPr>
  </w:style>
  <w:style w:type="character" w:customStyle="1" w:styleId="CharStyle11">
    <w:name w:val="Заголовок №2_"/>
    <w:basedOn w:val="DefaultParagraphFont"/>
    <w:link w:val="Style10"/>
    <w:rPr>
      <w:lang w:val="en-US" w:eastAsia="en-US" w:bidi="en-US"/>
      <w:b w:val="0"/>
      <w:bCs w:val="0"/>
      <w:i/>
      <w:iCs/>
      <w:u w:val="none"/>
      <w:strike w:val="0"/>
      <w:smallCaps w:val="0"/>
      <w:sz w:val="38"/>
      <w:szCs w:val="38"/>
      <w:rFonts w:ascii="Times New Roman" w:eastAsia="Times New Roman" w:hAnsi="Times New Roman" w:cs="Times New Roman"/>
      <w:spacing w:val="-20"/>
    </w:rPr>
  </w:style>
  <w:style w:type="character" w:customStyle="1" w:styleId="CharStyle12">
    <w:name w:val="Заголовок №2 + MS Reference Sans Serif,7,5 pt,Интервал 0 pt"/>
    <w:basedOn w:val="CharStyle11"/>
    <w:rPr>
      <w:lang w:val="ru-RU" w:eastAsia="ru-RU" w:bidi="ru-RU"/>
      <w:sz w:val="15"/>
      <w:szCs w:val="15"/>
      <w:rFonts w:ascii="MS Reference Sans Serif" w:eastAsia="MS Reference Sans Serif" w:hAnsi="MS Reference Sans Serif" w:cs="MS Reference Sans Serif"/>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6">
    <w:name w:val="Заголовок №1_"/>
    <w:basedOn w:val="DefaultParagraphFont"/>
    <w:link w:val="Style15"/>
    <w:rPr>
      <w:b w:val="0"/>
      <w:bCs w:val="0"/>
      <w:i w:val="0"/>
      <w:iCs w:val="0"/>
      <w:u w:val="none"/>
      <w:strike w:val="0"/>
      <w:smallCaps w:val="0"/>
      <w:sz w:val="38"/>
      <w:szCs w:val="38"/>
      <w:rFonts w:ascii="Times New Roman" w:eastAsia="Times New Roman" w:hAnsi="Times New Roman" w:cs="Times New Roman"/>
      <w:spacing w:val="60"/>
    </w:rPr>
  </w:style>
  <w:style w:type="character" w:customStyle="1" w:styleId="CharStyle17">
    <w:name w:val="Основной текст (2)"/>
    <w:basedOn w:val="CharStyle4"/>
    <w:rPr>
      <w:lang w:val="ru-RU" w:eastAsia="ru-RU" w:bidi="ru-RU"/>
      <w:sz w:val="24"/>
      <w:szCs w:val="24"/>
      <w:w w:val="100"/>
      <w:spacing w:val="0"/>
      <w:color w:val="000000"/>
      <w:position w:val="0"/>
    </w:rPr>
  </w:style>
  <w:style w:type="character" w:customStyle="1" w:styleId="CharStyle18">
    <w:name w:val="Основной текст"/>
    <w:basedOn w:val="CharStyle14"/>
    <w:rPr>
      <w:lang w:val="ru-RU" w:eastAsia="ru-RU" w:bidi="ru-RU"/>
      <w:sz w:val="24"/>
      <w:szCs w:val="24"/>
      <w:w w:val="100"/>
      <w:spacing w:val="0"/>
      <w:color w:val="000000"/>
      <w:position w:val="0"/>
    </w:rPr>
  </w:style>
  <w:style w:type="character" w:customStyle="1" w:styleId="CharStyle19">
    <w:name w:val="Основной текст"/>
    <w:basedOn w:val="CharStyle14"/>
    <w:rPr>
      <w:lang w:val="ru-RU" w:eastAsia="ru-RU" w:bidi="ru-RU"/>
      <w:sz w:val="24"/>
      <w:szCs w:val="24"/>
      <w:w w:val="100"/>
      <w:spacing w:val="0"/>
      <w:color w:val="000000"/>
      <w:position w:val="0"/>
    </w:rPr>
  </w:style>
  <w:style w:type="character" w:customStyle="1" w:styleId="CharStyle21">
    <w:name w:val="Основной текст (5)_"/>
    <w:basedOn w:val="DefaultParagraphFont"/>
    <w:link w:val="Style20"/>
    <w:rPr>
      <w:b w:val="0"/>
      <w:bCs w:val="0"/>
      <w:i/>
      <w:iCs/>
      <w:u w:val="none"/>
      <w:strike w:val="0"/>
      <w:smallCaps w:val="0"/>
      <w:sz w:val="26"/>
      <w:szCs w:val="26"/>
      <w:rFonts w:ascii="Times New Roman" w:eastAsia="Times New Roman" w:hAnsi="Times New Roman" w:cs="Times New Roman"/>
    </w:rPr>
  </w:style>
  <w:style w:type="character" w:customStyle="1" w:styleId="CharStyle22">
    <w:name w:val="Основной текст (5) + 12 pt,Не курсив"/>
    <w:basedOn w:val="CharStyle21"/>
    <w:rPr>
      <w:lang w:val="ru-RU" w:eastAsia="ru-RU" w:bidi="ru-RU"/>
      <w:i/>
      <w:i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180" w:line="254"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8">
    <w:name w:val="Основной текст (4)"/>
    <w:basedOn w:val="Normal"/>
    <w:link w:val="CharStyle9"/>
    <w:pPr>
      <w:widowControl w:val="0"/>
      <w:shd w:val="clear" w:color="auto" w:fill="FFFFFF"/>
      <w:jc w:val="center"/>
      <w:spacing w:before="180" w:after="1020" w:line="307" w:lineRule="exact"/>
    </w:pPr>
    <w:rPr>
      <w:b w:val="0"/>
      <w:bCs w:val="0"/>
      <w:i w:val="0"/>
      <w:iCs w:val="0"/>
      <w:u w:val="none"/>
      <w:strike w:val="0"/>
      <w:smallCaps w:val="0"/>
      <w:sz w:val="22"/>
      <w:szCs w:val="22"/>
      <w:rFonts w:ascii="Times New Roman" w:eastAsia="Times New Roman" w:hAnsi="Times New Roman" w:cs="Times New Roman"/>
      <w:spacing w:val="20"/>
    </w:rPr>
  </w:style>
  <w:style w:type="paragraph" w:customStyle="1" w:styleId="Style10">
    <w:name w:val="Заголовок №2"/>
    <w:basedOn w:val="Normal"/>
    <w:link w:val="CharStyle11"/>
    <w:pPr>
      <w:widowControl w:val="0"/>
      <w:shd w:val="clear" w:color="auto" w:fill="FFFFFF"/>
      <w:outlineLvl w:val="1"/>
      <w:spacing w:before="1020" w:line="0" w:lineRule="exact"/>
    </w:pPr>
    <w:rPr>
      <w:lang w:val="en-US" w:eastAsia="en-US" w:bidi="en-US"/>
      <w:b w:val="0"/>
      <w:bCs w:val="0"/>
      <w:i/>
      <w:iCs/>
      <w:u w:val="none"/>
      <w:strike w:val="0"/>
      <w:smallCaps w:val="0"/>
      <w:sz w:val="38"/>
      <w:szCs w:val="38"/>
      <w:rFonts w:ascii="Times New Roman" w:eastAsia="Times New Roman" w:hAnsi="Times New Roman" w:cs="Times New Roman"/>
      <w:spacing w:val="-20"/>
    </w:rPr>
  </w:style>
  <w:style w:type="paragraph" w:customStyle="1" w:styleId="Style13">
    <w:name w:val="Основной текст"/>
    <w:basedOn w:val="Normal"/>
    <w:link w:val="CharStyle14"/>
    <w:pPr>
      <w:widowControl w:val="0"/>
      <w:shd w:val="clear" w:color="auto" w:fill="FFFFFF"/>
      <w:spacing w:after="300" w:line="317"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jc w:val="right"/>
      <w:outlineLvl w:val="0"/>
      <w:spacing w:before="240" w:line="0" w:lineRule="exact"/>
    </w:pPr>
    <w:rPr>
      <w:b w:val="0"/>
      <w:bCs w:val="0"/>
      <w:i w:val="0"/>
      <w:iCs w:val="0"/>
      <w:u w:val="none"/>
      <w:strike w:val="0"/>
      <w:smallCaps w:val="0"/>
      <w:sz w:val="38"/>
      <w:szCs w:val="38"/>
      <w:rFonts w:ascii="Times New Roman" w:eastAsia="Times New Roman" w:hAnsi="Times New Roman" w:cs="Times New Roman"/>
      <w:spacing w:val="60"/>
    </w:rPr>
  </w:style>
  <w:style w:type="paragraph" w:customStyle="1" w:styleId="Style20">
    <w:name w:val="Основной текст (5)"/>
    <w:basedOn w:val="Normal"/>
    <w:link w:val="CharStyle21"/>
    <w:pPr>
      <w:widowControl w:val="0"/>
      <w:shd w:val="clear" w:color="auto" w:fill="FFFFFF"/>
      <w:spacing w:before="420" w:line="638" w:lineRule="exact"/>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