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jc w:val="left"/>
        <w:spacing w:before="0" w:after="2" w:line="240" w:lineRule="exact"/>
        <w:ind w:left="0" w:right="0" w:firstLine="0"/>
      </w:pPr>
      <w:bookmarkStart w:id="0" w:name="bookmark0"/>
      <w:r>
        <w:rPr>
          <w:rStyle w:val="CharStyle5"/>
          <w:b/>
          <w:bCs/>
        </w:rPr>
        <w:t>Заявитель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: ООО «Контракт»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16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4" w:left="7525" w:right="810" w:bottom="94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global .trend@mail .ru</w:t>
      </w: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tabs>
          <w:tab w:leader="hyphen" w:pos="2644" w:val="left"/>
        </w:tabs>
        <w:widowControl w:val="0"/>
        <w:keepNext w:val="0"/>
        <w:keepLines w:val="0"/>
        <w:shd w:val="clear" w:color="auto" w:fill="auto"/>
        <w:bidi w:val="0"/>
        <w:spacing w:before="0" w:after="142" w:line="200" w:lineRule="exact"/>
        <w:ind w:left="2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209" w:line="25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/>
        <w:keepLines/>
        <w:shd w:val="clear" w:color="auto" w:fill="auto"/>
        <w:bidi w:val="0"/>
        <w:jc w:val="center"/>
        <w:spacing w:before="0" w:after="133" w:line="298" w:lineRule="exact"/>
        <w:ind w:left="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  <w:bookmarkEnd w:id="1"/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9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2"/>
          <w:b/>
          <w:bCs/>
        </w:rPr>
        <w:t>to61@.fa.s. gov.ru</w:t>
      </w:r>
    </w:p>
    <w:p>
      <w:pPr>
        <w:pStyle w:val="Style6"/>
        <w:tabs>
          <w:tab w:leader="none" w:pos="400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860" w:right="0" w:firstLine="0"/>
      </w:pPr>
      <w:r>
        <w:rPr>
          <w:rStyle w:val="CharStyle13"/>
        </w:rPr>
        <w:t>Ш</w:t>
      </w:r>
      <w:r>
        <w:rPr>
          <w:rStyle w:val="CharStyle14"/>
        </w:rPr>
        <w:t xml:space="preserve"> // </w:t>
      </w:r>
      <w:r>
        <w:rPr>
          <w:rStyle w:val="CharStyle13"/>
        </w:rPr>
        <w:t>//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№</w:t>
        <w:tab/>
      </w:r>
      <w:r>
        <w:rPr>
          <w:rStyle w:val="CharStyle14"/>
        </w:rPr>
        <w:t>/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04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271" w:line="278" w:lineRule="exact"/>
        <w:ind w:left="0" w:right="20" w:firstLine="0"/>
      </w:pPr>
      <w:r>
        <w:rPr>
          <w:rStyle w:val="CharStyle14"/>
        </w:rPr>
        <w:t>Заказчик: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ФГБОУ ВО РОСТГМУ МИНЗДРАВА РОССИИ (ИНН 6163032850) Российская Федерация, 344022, Ростовская об л, Ростов-на-Дону г, ПЕР НАХИЧЕВАНСКИЙ, ДОМ 29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298" w:line="240" w:lineRule="exact"/>
        <w:ind w:left="0" w:right="20" w:firstLine="0"/>
      </w:pPr>
      <w:r>
        <w:fldChar w:fldCharType="begin"/>
      </w:r>
      <w:r>
        <w:rPr>
          <w:rStyle w:val="CharStyle14"/>
        </w:rPr>
        <w:instrText> HYPERLINK "mailto:ks@rostgmu.ru" </w:instrText>
      </w:r>
      <w:r>
        <w:fldChar w:fldCharType="separate"/>
      </w:r>
      <w:r>
        <w:rPr>
          <w:rStyle w:val="Hyperlink"/>
          <w:lang w:val="en-US" w:eastAsia="en-US" w:bidi="en-US"/>
        </w:rPr>
        <w:t>ks@rostgmu.ru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0" w:firstLine="0"/>
        <w:sectPr>
          <w:type w:val="continuous"/>
          <w:pgSz w:w="11906" w:h="16838"/>
          <w:pgMar w:top="94" w:left="877" w:right="1141" w:bottom="94" w:header="0" w:footer="3" w:gutter="0"/>
          <w:rtlGutter w:val="0"/>
          <w:cols w:num="2" w:space="654"/>
          <w:noEndnote/>
          <w:docGrid w:linePitch="360"/>
        </w:sectPr>
      </w:pPr>
      <w:r>
        <w:rPr>
          <w:rStyle w:val="CharStyle14"/>
        </w:rPr>
        <w:t>Оператор: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РТС-тендер</w:t>
      </w:r>
    </w:p>
    <w:p>
      <w:pPr>
        <w:widowControl w:val="0"/>
        <w:spacing w:before="73" w:after="7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0" w:line="240" w:lineRule="exact"/>
        <w:ind w:left="10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  <w:bookmarkEnd w:id="2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278" w:line="288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2114/04 о нарушении законодательства о контрактной системе в сфере закупок</w:t>
      </w:r>
    </w:p>
    <w:p>
      <w:pPr>
        <w:pStyle w:val="Style6"/>
        <w:tabs>
          <w:tab w:leader="none" w:pos="8336" w:val="center"/>
          <w:tab w:leader="none" w:pos="1009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4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«31» октября 2017 года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</w:t>
        <w:tab/>
        <w:t>Ростов-на-Дону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80" w:right="6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УФ АС России) по контролю соблюдения законодательства о контрактной системе в сфере закупок (далее — Комиссия) в составе:</w:t>
      </w:r>
    </w:p>
    <w:p>
      <w:pPr>
        <w:pStyle w:val="Style6"/>
        <w:tabs>
          <w:tab w:leader="none" w:pos="56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Коренченко К. А.</w:t>
      </w:r>
    </w:p>
    <w:p>
      <w:pPr>
        <w:pStyle w:val="Style6"/>
        <w:tabs>
          <w:tab w:leader="none" w:pos="56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>Пахальян А.И.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Мамедов А. 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6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дело № 2114/04 по жалобе Заявителя о нарушении Заказчиком норм Федерального Закона от 05.04.2013г. № 44-ФЗ «О контрактной системе в сфере закупок товаров, работ услуг для обеспечения государственных и муниципальных нужд» (далее - Закон), в присутствии представителей Заказчика и Заявителя, в отсутствие иных лиц, извещенных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надлежащим образом,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82" w:line="240" w:lineRule="exact"/>
        <w:ind w:left="4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80" w:right="6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20.10.2017г. (вх. № 15974) в Ростовское УФАС России поступила жалоба Заявителя на действия Заказчика при проведении электронного аукциона №0358100022817000612 «Поставка многоразового медицинского инструментария для отделений клиники» (далее — аукцион). Заявитель указывает на следующие нарушения: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" w:line="240" w:lineRule="exact"/>
        <w:ind w:left="8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3аказчик в составе вторых частей заявок необоснованно требует приложить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регистрационные удостоверение на медицинские изделия.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80" w:right="6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3аказчик не установил в документации о закупке требования о предоставлении участником в составе заявки сертификата страны происхождения товара.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Заказчиком в аукционной документации установлены требования к товарам которые</w:t>
      </w:r>
    </w:p>
    <w:p>
      <w:pPr>
        <w:pStyle w:val="Style6"/>
        <w:tabs>
          <w:tab w:leader="none" w:pos="744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противоречат друг другу.</w:t>
        <w:tab/>
        <w:t>^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3" w:line="240" w:lineRule="exact"/>
        <w:ind w:left="8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представил возражения, согласно которым нарушений Закона при проведении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аукциона допущено не было.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80" w:right="6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Изучив материалы дела, а также по итогам проведения внеплановой проверки в соответствии с ч. 3 ст. 99 Закона, п. 3.31 Регламента, утвержденного Приказом ФАС России от 19.11.2014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727/14, Комиссия Ростовского УФАС России установила:</w:t>
      </w:r>
    </w:p>
    <w:p>
      <w:pPr>
        <w:pStyle w:val="Style6"/>
        <w:numPr>
          <w:ilvl w:val="0"/>
          <w:numId w:val="3"/>
        </w:numPr>
        <w:tabs>
          <w:tab w:leader="none" w:pos="214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80" w:right="6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в п. 23 Аукционной документации установлены Общие требования к участникам аукциона: В аукционе могут принимать участие любые юридические лица независимо от их организационно-правовой формы, формы собственности, места нахождения и места происхождения капитала, за исключением юридических лиц, местом регистрации которых является государство или территория, включенные в утверждаемый в соответствии с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12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подпунктом </w:t>
      </w:r>
      <w:r>
        <w:rPr>
          <w:rStyle w:val="CharStyle17"/>
        </w:rPr>
        <w:t xml:space="preserve">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пункта 3 </w:t>
      </w:r>
      <w:r>
        <w:rPr>
          <w:rStyle w:val="CharStyle18"/>
        </w:rPr>
        <w:t xml:space="preserve">статьи 284 Налогового </w:t>
      </w:r>
      <w:r>
        <w:rPr>
          <w:rStyle w:val="CharStyle17"/>
        </w:rPr>
        <w:t xml:space="preserve">кодекса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Российской Федерации перечень </w:t>
      </w:r>
      <w:r>
        <w:rPr>
          <w:rStyle w:val="CharStyle18"/>
        </w:rPr>
        <w:t xml:space="preserve">государств и территории, предоставляющих </w:t>
      </w:r>
      <w:r>
        <w:rPr>
          <w:rStyle w:val="CharStyle17"/>
        </w:rPr>
        <w:t xml:space="preserve">льготный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налоговый режим налогообложения </w:t>
      </w:r>
      <w:r>
        <w:rPr>
          <w:rStyle w:val="CharStyle18"/>
        </w:rPr>
        <w:t xml:space="preserve">|Цл </w:t>
      </w:r>
      <w:r>
        <w:rPr>
          <w:rStyle w:val="CharStyle18"/>
          <w:vertAlign w:val="subscript"/>
        </w:rPr>
        <w:t>яе</w:t>
      </w:r>
      <w:r>
        <w:rPr>
          <w:rStyle w:val="CharStyle18"/>
        </w:rPr>
        <w:t xml:space="preserve"> предусматривающих раскрытия и </w:t>
      </w:r>
      <w:r>
        <w:rPr>
          <w:rStyle w:val="CharStyle17"/>
        </w:rPr>
        <w:t xml:space="preserve">предоставления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информации при проведении </w:t>
      </w:r>
      <w:r>
        <w:rPr>
          <w:rStyle w:val="CharStyle19"/>
        </w:rPr>
        <w:t>Г-«Гаш</w:t>
      </w:r>
      <w:r>
        <w:rPr>
          <w:rStyle w:val="CharStyle19"/>
          <w:vertAlign w:val="superscript"/>
        </w:rPr>
        <w:t>Р</w:t>
      </w:r>
      <w:r>
        <w:rPr>
          <w:rStyle w:val="CharStyle19"/>
        </w:rPr>
        <w:t>й</w:t>
      </w:r>
      <w:r>
        <w:rPr>
          <w:rStyle w:val="CharStyle18"/>
        </w:rPr>
        <w:t xml:space="preserve"> (офшорные </w:t>
      </w:r>
      <w:r>
        <w:rPr>
          <w:rStyle w:val="CharStyle20"/>
        </w:rPr>
        <w:t>Ш</w:t>
      </w:r>
      <w:r>
        <w:rPr>
          <w:rStyle w:val="CharStyle18"/>
        </w:rPr>
        <w:t xml:space="preserve"> в </w:t>
      </w:r>
      <w:r>
        <w:rPr>
          <w:rStyle w:val="CharStyle17"/>
        </w:rPr>
        <w:t xml:space="preserve">—и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юридичесох</w:t>
      </w:r>
      <w:r>
        <w:rPr>
          <w:lang w:val="en-US" w:eastAsia="en-US" w:bidi="en-US"/>
          <w:vertAlign w:val="subscript"/>
          <w:sz w:val="24"/>
          <w:szCs w:val="24"/>
          <w:w w:val="100"/>
          <w:spacing w:val="0"/>
          <w:color w:val="000000"/>
          <w:position w:val="0"/>
        </w:rPr>
        <w:t>t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лиц ^шее - оф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=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7"/>
        </w:rPr>
        <w:t xml:space="preserve">компания), </w:t>
      </w:r>
      <w:r>
        <w:rPr>
          <w:rStyle w:val="CharStyle18"/>
        </w:rPr>
        <w:t xml:space="preserve">или любое физическое лицо, 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том числе зарегистрированное в качестве </w:t>
      </w:r>
      <w:r>
        <w:rPr>
          <w:rStyle w:val="CharStyle18"/>
        </w:rPr>
        <w:t xml:space="preserve">индивидуального предпринимателя. А также 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п.24 Аукционной документации установлены Единые требования к участникам закупку в соответствии с ч 1 ст.З 3 Закона.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20" w:right="0" w:firstLine="480"/>
      </w:pPr>
      <w:r>
        <w:rPr>
          <w:rStyle w:val="CharStyle21"/>
        </w:rPr>
        <w:t xml:space="preserve">Иньтх требований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 участникам Заказчиком </w:t>
      </w:r>
      <w:r>
        <w:rPr>
          <w:rStyle w:val="CharStyle21"/>
        </w:rPr>
        <w:t xml:space="preserve">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документации не установлено^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600" w:firstLine="4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ч. 4 ст. 38 Федерального закона от 21.11,2011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323 ФЗ «Об основах охраны здоровья граждан в Российской Федерации» (далее - Закон об основах охраны здоровья граждан) на территории Российской Федерации разрешается обращение медицинских изделии, ^р„ровГньЛ порядке, установленном Правительством Российской Федерации,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уполномоченным им федеральным органом исполнительной власти.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84" w:line="283" w:lineRule="exact"/>
        <w:ind w:left="120" w:right="600" w:firstLine="4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 ч. 1 ст. 64 Закона документация об электронном аукционе должна содержать, в том числе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65" w:line="278" w:lineRule="exact"/>
        <w:ind w:left="120" w:right="600" w:firstLine="4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3 ч. 5 ст. 66 Закона установлено, что вторая часть заявки на участие в электронном аукционе должна содержать документы и информацию, в том числе копии документов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или,услуг и представление указанных документов предусмотрено документацией об электрон</w:t>
      </w:r>
    </w:p>
    <w:p>
      <w:pPr>
        <w:pStyle w:val="Style6"/>
        <w:tabs>
          <w:tab w:leader="none" w:pos="209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аукционе^ </w:t>
      </w:r>
      <w:r>
        <w:rPr>
          <w:rStyle w:val="CharStyle22"/>
        </w:rPr>
        <w:t>^</w:t>
        <w:tab/>
        <w:t>^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требование заказчика о наличии во второй части заявки на участие 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открытом электронном аукционе копии регистрационного удостоверения на медицинские изделия или </w:t>
      </w:r>
      <w:r>
        <w:rPr>
          <w:rStyle w:val="CharStyle17"/>
        </w:rPr>
        <w:t xml:space="preserve">информации </w:t>
      </w:r>
      <w:r>
        <w:rPr>
          <w:rStyle w:val="CharStyle18"/>
        </w:rPr>
        <w:t xml:space="preserve">0 таком удостоверении,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 противоречит положения п. 3 ч. 5 ст. 60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20" w:right="0" w:firstLine="0"/>
      </w:pPr>
      <w:r>
        <w:rPr>
          <w:rStyle w:val="CharStyle17"/>
        </w:rPr>
        <w:t>Зчкола указанный довод жалобы необоснован.</w:t>
      </w:r>
    </w:p>
    <w:p>
      <w:pPr>
        <w:pStyle w:val="Style6"/>
        <w:numPr>
          <w:ilvl w:val="0"/>
          <w:numId w:val="3"/>
        </w:numPr>
        <w:tabs>
          <w:tab w:leader="none" w:pos="10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73" w:line="274" w:lineRule="exact"/>
        <w:ind w:left="1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в п.28 Аукционной документации было установлено’ °^™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товаров </w:t>
      </w:r>
      <w:r>
        <w:rPr>
          <w:rStyle w:val="CharStyle17"/>
        </w:rPr>
        <w:t xml:space="preserve">“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соответствии с </w:t>
      </w:r>
      <w:r>
        <w:rPr>
          <w:rStyle w:val="CharStyle18"/>
        </w:rPr>
        <w:t xml:space="preserve">Постановлением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Правительства РФ от 05.02.2015г.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Хиральных </w:t>
      </w:r>
      <w:r>
        <w:rPr>
          <w:rStyle w:val="CharStyle22"/>
        </w:rPr>
        <w:t>нуш»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(Далее - Постановление № 102). В этом же пункте документации сказано. «Подтверждением страны происхождения медицинских изделий, включенных в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Р=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че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“&gt; является сертификат о происхождении товара, выдаваемый уполномоченным органом....», что является указанием на предоставление участниками в составе заявки сертификата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76" w:line="283" w:lineRule="exact"/>
        <w:ind w:left="280" w:right="420" w:firstLine="0"/>
      </w:pP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И&lt;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тГгаобразо^Заказчиком были соблюдены требования законодательства и в Аукционной документации было установлено требование в соответствии с Постановлением № 102 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8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^Тизде^ГГнГачения на территории РФ проходят регистрацию и сертификацию (декларацию): подается большой пакет документов, предоставляются сами товары, проводятся испытания этих товаров и т.д. ГОСТ присваивается на этапе технических испытании и 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80" w:right="0" w:firstLine="0"/>
      </w:pPr>
      <w:r>
        <w:rPr>
          <w:rStyle w:val="CharStyle23"/>
        </w:rPr>
        <w:t xml:space="preserve">дальнейшем он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фигурирует в декларации соответствия.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80" w:right="4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Расшифровка стали (процентное содержание того или иного элемента) была подро представлена в технической документации согласно марочнику стали.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8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ГОСТ в тех. характеристиках указан из декларации соответствия.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28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ГОСТ Р 50328 1-92 (является внутренним ссылочным документом ГОСТов, указанных в характеристиках), то описанный в характеристиках развернутый состав сталей полностью</w:t>
      </w:r>
    </w:p>
    <w:p>
      <w:pPr>
        <w:pStyle w:val="Style6"/>
        <w:tabs>
          <w:tab w:leader="none" w:pos="92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80" w:right="0" w:firstLine="0"/>
      </w:pPr>
      <w:r>
        <w:rPr>
          <w:rStyle w:val="CharStyle18"/>
        </w:rPr>
        <w:t>совпадает: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„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а)У </w:t>
      </w:r>
      <w:r>
        <w:rPr>
          <w:rStyle w:val="CharStyle18"/>
        </w:rPr>
        <w:t xml:space="preserve">мигфоножшц (позиции №№ </w:t>
      </w:r>
      <w:r>
        <w:rPr>
          <w:rStyle w:val="CharStyle17"/>
        </w:rPr>
        <w:t xml:space="preserve">1 </w:t>
      </w:r>
      <w:r>
        <w:rPr>
          <w:rStyle w:val="CharStyle18"/>
        </w:rPr>
        <w:t xml:space="preserve">н 2) </w:t>
      </w:r>
      <w:r>
        <w:rPr>
          <w:rStyle w:val="CharStyle24"/>
        </w:rPr>
        <w:t xml:space="preserve">с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буквенным обозначением марки стали 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0" w:right="0" w:firstLine="560"/>
      </w:pPr>
      <w:r>
        <w:rPr>
          <w:rStyle w:val="CharStyle17"/>
        </w:rPr>
        <w:t xml:space="preserve">б)У микропинцетов (позиция №№ </w:t>
      </w:r>
      <w:r>
        <w:rPr>
          <w:rStyle w:val="CharStyle18"/>
        </w:rPr>
        <w:t xml:space="preserve">3,4,6) </w:t>
      </w:r>
      <w:r>
        <w:rPr>
          <w:rStyle w:val="CharStyle17"/>
        </w:rPr>
        <w:t xml:space="preserve">с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буквенным обозначением марки стали 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0" w:right="0" w:firstLine="560"/>
      </w:pPr>
      <w:r>
        <w:rPr>
          <w:rStyle w:val="CharStyle17"/>
        </w:rPr>
        <w:t xml:space="preserve">в)У пшшетов (позиции </w:t>
      </w:r>
      <w:r>
        <w:rPr>
          <w:rStyle w:val="CharStyle25"/>
        </w:rPr>
        <w:t>Ш»</w:t>
      </w:r>
      <w:r>
        <w:rPr>
          <w:rStyle w:val="CharStyle17"/>
        </w:rPr>
        <w:t xml:space="preserve"> 11Л 2) с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буквенным обозначением марки стали 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г)Все остальные позиции предполагались из титанового сплава, марка титанового сплава не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8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указывалась.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79" w:line="240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Указание буквенного обозначения марки стали в рамках ГОСТа не целесообразно, т.к.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есть описание состава стали.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техническом задании заказчика имеется так же требование: форма инструмента должна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полностью соответствовать указанной модели. То есть инструмент должен быть именно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103" w:line="240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запрашиваемой формы, а именно пинцет окончатый, а не других конфигурации, например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лапчатый, прямой и т.д.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4.1 ст.ЗЗ Закона в описании объекта закупки указываются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функциональные, технические и качественные характеристики, эксплуатационные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характеристики объекта закупки (при необходимости). В описание объекта закупки не должны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включаться требования или указания в отношении товарных знаков, знаков обслуживания,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фирменных наименований, патентов, полезных моделей, промышленных образцов,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наименование места происхождения товара или наименование производителя, а также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требования к товарам, информации, работам, услугам при условии, что такие требования влекут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 собой ограничение количества участников закупки, за исключением случаев, если не имеется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другого способа, обеспечивающего более точное и четкое описание характеристик объекта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чятс\тки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80" w:right="14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Ни Законом о контрактной системе, ни Федеральным законом № 135 - ФЗ от 26 июля 2006г. «О защите конкуренции» (далее - Закон о защите конкуренции) не предусмотрено каких- либо ограничений по включению в документацию об аукционе требовании к товару,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являющихся значимыми для заказчика.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Действующее законодательство не обязывает заказчика при определении характеристик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поставляемого для государственных и муниципальных нужд товара в документации об аукционе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устанавливать такие характеристики, которые соответствовали бы всем существующим типам,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видам, моделям товара. Следовательно, Заказчик вправе включить в документацию такие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требования к характеристикам товара, которые отвечают его потребностям и необходимы для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выполнения соответствующих функций. При этом Заказчик вправе в необходимой степени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детализировать предмет закупок.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80" w:right="14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 у участников закупки возможности поставить товар необходимый Заказчику, не означает ограничение количества участников такой закупки. Данный аукцион проводится не по закупке среди производителей, а по поставке товара. При этом участником закупки может выступить любое юридическое лицо или индивидуальный предприниматель, в том числе и не являющееся производителем требуемого к поставке товара, готовое поставить товар, отвечающий требованиям документации.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Исходя из смысла пунктов 1, 6 части 1, части 2 статьи 33 Закона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потребности заказчика являются определяющим фактором при установлении им соответствующих требований.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0" w:right="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указанный довод жалобы необоснован.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Комиссия Ростовского УФАС России, руководствуясь Постановлением Правительства РФ от 26.08.2013г. № 728, ч. 15 ст. 99, ч. 8 ст. 106 Закона,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2" w:line="240" w:lineRule="exact"/>
        <w:ind w:left="48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0" w:right="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«Контракт» необоснованной.</w:t>
      </w:r>
    </w:p>
    <w:p>
      <w:pPr>
        <w:pStyle w:val="Style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торговой площадки обеспечить Заказчику, комиссии Заказчика возможность совершения дальнейших действий, предусмотренных Законом, при проведении</w:t>
      </w:r>
    </w:p>
    <w:p>
      <w:pPr>
        <w:pStyle w:val="Style6"/>
        <w:tabs>
          <w:tab w:leader="none" w:pos="99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аукциона.</w:t>
        <w:tab/>
        <w:t>,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14" w:line="180" w:lineRule="exact"/>
        <w:ind w:left="200" w:right="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9 ст. 106 Закона решение, принятое по результатам рассмотрения жалобы по существу, может оыть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обжаловано в судебном порядке в течение трех месяцев с даты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К.А. Коренченко</w:t>
      </w:r>
    </w:p>
    <w:sectPr>
      <w:type w:val="continuous"/>
      <w:pgSz w:w="11906" w:h="16838"/>
      <w:pgMar w:top="613" w:left="644" w:right="567" w:bottom="3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2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Заголовок №2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+ 13 pt,Полужирный,Курсив,Интервал -1 pt"/>
    <w:basedOn w:val="CharStyle7"/>
    <w:rPr>
      <w:lang w:val="ru-RU" w:eastAsia="ru-RU" w:bidi="ru-RU"/>
      <w:b/>
      <w:bCs/>
      <w:i/>
      <w:iCs/>
      <w:u w:val="single"/>
      <w:sz w:val="26"/>
      <w:szCs w:val="26"/>
      <w:w w:val="100"/>
      <w:spacing w:val="-30"/>
      <w:color w:val="000000"/>
      <w:position w:val="0"/>
    </w:rPr>
  </w:style>
  <w:style w:type="character" w:customStyle="1" w:styleId="CharStyle14">
    <w:name w:val="Основной текст"/>
    <w:basedOn w:val="CharStyle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+ Интервал -2 pt"/>
    <w:basedOn w:val="CharStyle7"/>
    <w:rPr>
      <w:lang w:val="ru-RU" w:eastAsia="ru-RU" w:bidi="ru-RU"/>
      <w:sz w:val="24"/>
      <w:szCs w:val="24"/>
      <w:w w:val="100"/>
      <w:spacing w:val="-50"/>
      <w:color w:val="000000"/>
      <w:position w:val="0"/>
    </w:rPr>
  </w:style>
  <w:style w:type="character" w:customStyle="1" w:styleId="CharStyle20">
    <w:name w:val="Основной текст + 13 pt,Полужирный,Курсив,Интервал -1 pt"/>
    <w:basedOn w:val="CharStyle7"/>
    <w:rPr>
      <w:lang w:val="ru-RU" w:eastAsia="ru-RU" w:bidi="ru-RU"/>
      <w:b/>
      <w:bCs/>
      <w:i/>
      <w:iCs/>
      <w:sz w:val="26"/>
      <w:szCs w:val="26"/>
      <w:w w:val="100"/>
      <w:spacing w:val="-30"/>
      <w:color w:val="000000"/>
      <w:position w:val="0"/>
    </w:rPr>
  </w:style>
  <w:style w:type="character" w:customStyle="1" w:styleId="CharStyle21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+ 13 pt,Полужирный,Курсив"/>
    <w:basedOn w:val="CharStyle7"/>
    <w:rPr>
      <w:lang w:val="ru-RU" w:eastAsia="ru-RU" w:bidi="ru-RU"/>
      <w:b/>
      <w:bCs/>
      <w:i/>
      <w:iCs/>
      <w:sz w:val="26"/>
      <w:szCs w:val="26"/>
      <w:w w:val="100"/>
      <w:spacing w:val="0"/>
      <w:color w:val="000000"/>
      <w:position w:val="0"/>
    </w:rPr>
  </w:style>
  <w:style w:type="character" w:customStyle="1" w:styleId="CharStyle23">
    <w:name w:val="Основной текст + 11,5 pt"/>
    <w:basedOn w:val="CharStyle7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24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Основной текст + 13 pt,Полужирный,Курсив"/>
    <w:basedOn w:val="CharStyle7"/>
    <w:rPr>
      <w:lang w:val="ru-RU" w:eastAsia="ru-RU" w:bidi="ru-RU"/>
      <w:b/>
      <w:bCs/>
      <w:i/>
      <w:iCs/>
      <w:sz w:val="26"/>
      <w:szCs w:val="26"/>
      <w:w w:val="100"/>
      <w:spacing w:val="0"/>
      <w:color w:val="000000"/>
      <w:position w:val="0"/>
    </w:rPr>
  </w:style>
  <w:style w:type="character" w:customStyle="1" w:styleId="CharStyle27">
    <w:name w:val="Основной текст (4)_"/>
    <w:basedOn w:val="DefaultParagraphFont"/>
    <w:link w:val="Style2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Заголовок №2"/>
    <w:basedOn w:val="Normal"/>
    <w:link w:val="CharStyle4"/>
    <w:pPr>
      <w:widowControl w:val="0"/>
      <w:shd w:val="clear" w:color="auto" w:fill="FFFFFF"/>
      <w:outlineLvl w:val="1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both"/>
      <w:spacing w:after="240" w:line="0" w:lineRule="exact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60" w:after="240" w:line="20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jc w:val="center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