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4"/>
        <w:ind w:left="0" w:right="0" w:firstLine="0"/>
      </w:pPr>
      <w:r>
        <w:rPr>
          <w:rStyle w:val="CharStyle5"/>
        </w:rPr>
        <w:t xml:space="preserve">ФЕДЕРАЛЬНАЯ </w:t>
      </w:r>
      <w:r>
        <w:rPr>
          <w:rStyle w:val="CharStyle6"/>
        </w:rPr>
        <w:t>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2" w:line="264" w:lineRule="exact"/>
        <w:ind w:left="0" w:right="0" w:firstLine="0"/>
      </w:pPr>
      <w:r>
        <w:rPr>
          <w:rStyle w:val="CharStyle6"/>
        </w:rPr>
        <w:t xml:space="preserve">УПРАВЛЕНИЕ </w:t>
      </w:r>
      <w:r>
        <w:rPr>
          <w:rStyle w:val="CharStyle5"/>
        </w:rPr>
        <w:t xml:space="preserve">Федеральной </w:t>
      </w:r>
      <w:r>
        <w:rPr>
          <w:rStyle w:val="CharStyle6"/>
        </w:rPr>
        <w:t xml:space="preserve">антимонопольной службы </w:t>
      </w:r>
      <w:r>
        <w:rPr>
          <w:rStyle w:val="CharStyle5"/>
        </w:rPr>
        <w:t xml:space="preserve">по </w:t>
      </w:r>
      <w:r>
        <w:rPr>
          <w:rStyle w:val="CharStyle6"/>
        </w:rPr>
        <w:t>Республике Татарстан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90"/>
        <w:ind w:left="0" w:right="0" w:firstLine="0"/>
      </w:pPr>
      <w:r>
        <w:rPr>
          <w:rStyle w:val="CharStyle9"/>
        </w:rPr>
        <w:t xml:space="preserve">ул. Московская, д. 55. г. Качань. 420021 тел.: (845) 236-89-22. факс (843) 238-19-46 </w:t>
      </w:r>
      <w:r>
        <w:rPr>
          <w:rStyle w:val="CharStyle9"/>
          <w:lang w:val="en-US" w:eastAsia="en-US" w:bidi="en-US"/>
        </w:rPr>
        <w:t>o-mai I</w:t>
      </w:r>
      <w:r>
        <w:rPr>
          <w:rStyle w:val="CharStyle9"/>
        </w:rPr>
        <w:t xml:space="preserve">: </w:t>
      </w:r>
      <w:r>
        <w:rPr>
          <w:rStyle w:val="CharStyle9"/>
          <w:lang w:val="en-US" w:eastAsia="en-US" w:bidi="en-US"/>
        </w:rPr>
        <w:t xml:space="preserve">to </w:t>
      </w:r>
      <w:r>
        <w:rPr>
          <w:rStyle w:val="CharStyle9"/>
        </w:rPr>
        <w:t xml:space="preserve">1 б® </w:t>
      </w:r>
      <w:r>
        <w:rPr>
          <w:rStyle w:val="CharStyle9"/>
          <w:lang w:val="en-US" w:eastAsia="en-US" w:bidi="en-US"/>
        </w:rPr>
        <w:t>fas.gov.</w:t>
      </w:r>
      <w:r>
        <w:rPr>
          <w:rStyle w:val="CharStyle9"/>
        </w:rPr>
        <w:t>ш</w:t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0" w:line="200" w:lineRule="exact"/>
        <w:ind w:left="440" w:right="0" w:firstLine="0"/>
      </w:pPr>
      <w:bookmarkStart w:id="0" w:name="bookmark0"/>
      <w:r>
        <w:rPr>
          <w:rStyle w:val="CharStyle12"/>
          <w:i/>
          <w:iCs/>
        </w:rPr>
        <w:t xml:space="preserve">{Ч и._ </w:t>
      </w:r>
      <w:r>
        <w:rPr>
          <w:rStyle w:val="CharStyle12"/>
          <w:lang w:val="en-US" w:eastAsia="en-US" w:bidi="en-US"/>
          <w:i/>
          <w:iCs/>
        </w:rPr>
        <w:t>j</w:t>
      </w:r>
      <w:r>
        <w:rPr>
          <w:rStyle w:val="CharStyle13"/>
          <w:lang w:val="en-US" w:eastAsia="en-US" w:bidi="en-US"/>
          <w:i/>
          <w:iCs/>
        </w:rPr>
        <w:t>Lojl-</w:t>
      </w:r>
      <w:r>
        <w:rPr>
          <w:rStyle w:val="CharStyle14"/>
          <w:lang w:val="en-US" w:eastAsia="en-US" w:bidi="en-US"/>
          <w:i w:val="0"/>
          <w:iCs w:val="0"/>
        </w:rPr>
        <w:t xml:space="preserve"> </w:t>
      </w:r>
      <w:r>
        <w:rPr>
          <w:rStyle w:val="CharStyle14"/>
          <w:i w:val="0"/>
          <w:iCs w:val="0"/>
        </w:rPr>
        <w:t xml:space="preserve">№ </w:t>
      </w:r>
      <w:r>
        <w:rPr>
          <w:rStyle w:val="CharStyle13"/>
          <w:i/>
          <w:iCs/>
        </w:rPr>
        <w:t>оч-оч/м</w:t>
      </w:r>
      <w:r>
        <w:rPr>
          <w:rStyle w:val="CharStyle12"/>
          <w:i/>
          <w:iCs/>
        </w:rPr>
        <w:t>ъъь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76" w:line="259" w:lineRule="exact"/>
        <w:ind w:left="0" w:right="40" w:firstLine="0"/>
      </w:pPr>
      <w:r>
        <w:rPr>
          <w:rStyle w:val="CharStyle6"/>
        </w:rPr>
        <w:t>МОНОПОЛИЯГЭ КАРШЫ ФЕДЕРАЛЬ ХЕЗМЭТ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34" w:line="264" w:lineRule="exact"/>
        <w:ind w:left="120" w:right="120" w:firstLine="220"/>
      </w:pPr>
      <w:r>
        <w:rPr>
          <w:rStyle w:val="CharStyle6"/>
        </w:rPr>
        <w:t xml:space="preserve">Монополия™ каршы </w:t>
      </w:r>
      <w:r>
        <w:rPr>
          <w:rStyle w:val="CharStyle5"/>
        </w:rPr>
        <w:t xml:space="preserve">Федераль </w:t>
      </w:r>
      <w:r>
        <w:rPr>
          <w:rStyle w:val="CharStyle6"/>
        </w:rPr>
        <w:t>хезмэтнен Татарстан Республикасы буенма идарэсс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/>
        <w:ind w:left="0" w:right="40" w:firstLine="0"/>
      </w:pPr>
      <w:r>
        <w:rPr>
          <w:rStyle w:val="CharStyle17"/>
        </w:rPr>
        <w:t xml:space="preserve">Москэу </w:t>
      </w:r>
      <w:r>
        <w:rPr>
          <w:rStyle w:val="CharStyle17"/>
          <w:lang w:val="en-US" w:eastAsia="en-US" w:bidi="en-US"/>
        </w:rPr>
        <w:t xml:space="preserve">vp., </w:t>
      </w:r>
      <w:r>
        <w:rPr>
          <w:rStyle w:val="CharStyle17"/>
        </w:rPr>
        <w:t>55 йорт, Казан шэЬэре. 420021 тел.: (843) 236-89-22. факс (843) 238-19-46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0" w:right="4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23" w:left="1006" w:right="1884" w:bottom="413" w:header="0" w:footer="3" w:gutter="0"/>
          <w:rtlGutter w:val="0"/>
          <w:cols w:num="2" w:space="720" w:equalWidth="0">
            <w:col w:w="4147" w:space="1834"/>
            <w:col w:w="3034"/>
          </w:cols>
          <w:noEndnote/>
          <w:docGrid w:linePitch="360"/>
        </w:sectPr>
      </w:pPr>
      <w:r>
        <w:rPr>
          <w:rStyle w:val="CharStyle9"/>
          <w:lang w:val="en-US" w:eastAsia="en-US" w:bidi="en-US"/>
        </w:rPr>
        <w:t xml:space="preserve">e-mail; </w:t>
      </w:r>
      <w:r>
        <w:fldChar w:fldCharType="begin"/>
      </w:r>
      <w:r>
        <w:rPr>
          <w:rStyle w:val="CharStyle9"/>
        </w:rPr>
        <w:instrText> HYPERLINK "mailto:tol6@fas.gov.ru"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tol6@fas.gov.ru</w:t>
      </w:r>
      <w:r>
        <w:fldChar w:fldCharType="end"/>
      </w:r>
    </w:p>
    <w:p>
      <w:pPr>
        <w:widowControl w:val="0"/>
        <w:spacing w:line="193" w:lineRule="exact"/>
        <w:rPr>
          <w:sz w:val="15"/>
          <w:szCs w:val="1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framePr w:h="200" w:wrap="around" w:vAnchor="text" w:hAnchor="margin" w:x="-4545" w:y="16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</w:pPr>
      <w:r>
        <w:rPr>
          <w:rStyle w:val="CharStyle20"/>
          <w:spacing w:val="0"/>
        </w:rPr>
        <w:t>Па №</w:t>
      </w:r>
    </w:p>
    <w:p>
      <w:pPr>
        <w:pStyle w:val="Style18"/>
        <w:framePr w:h="200" w:wrap="around" w:vAnchor="text" w:hAnchor="margin" w:x="-2898" w:y="148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</w:pPr>
      <w:r>
        <w:rPr>
          <w:rStyle w:val="CharStyle20"/>
          <w:spacing w:val="0"/>
        </w:rPr>
        <w:t>от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360" w:firstLine="0"/>
        <w:sectPr>
          <w:type w:val="continuous"/>
          <w:pgSz w:w="11906" w:h="16838"/>
          <w:pgMar w:top="423" w:left="5984" w:right="1016" w:bottom="41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ГБУ «БЕЗОПАСНОСТЬ ДОРОЖНОГО ДВИЖЕНИЯ»</w:t>
      </w:r>
    </w:p>
    <w:p>
      <w:pPr>
        <w:widowControl w:val="0"/>
        <w:spacing w:before="38" w:after="3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612" w:line="326" w:lineRule="exact"/>
        <w:ind w:left="5380" w:right="30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«Норд Пром» </w:t>
      </w:r>
      <w:r>
        <w:fldChar w:fldCharType="begin"/>
      </w:r>
      <w:r>
        <w:rPr>
          <w:rStyle w:val="CharStyle23"/>
        </w:rPr>
        <w:instrText> HYPERLINK "mailto:info@pik.com" </w:instrText>
      </w:r>
      <w:r>
        <w:fldChar w:fldCharType="separate"/>
      </w:r>
      <w:r>
        <w:rPr>
          <w:rStyle w:val="Hyperlink"/>
        </w:rPr>
        <w:t>info@pik.com</w:t>
      </w:r>
      <w:r>
        <w:fldChar w:fldCharType="end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center"/>
        <w:spacing w:before="0" w:after="358" w:line="312" w:lineRule="exact"/>
        <w:ind w:left="460" w:right="0" w:firstLine="0"/>
      </w:pPr>
      <w:r>
        <w:rPr>
          <w:rStyle w:val="CharStyle24"/>
        </w:rPr>
        <w:t>РЕШЕНИЕ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 делу №531 -кз/2017 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Style21"/>
        <w:tabs>
          <w:tab w:leader="none" w:pos="9154" w:val="right"/>
          <w:tab w:leader="none" w:pos="1007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11" w:line="240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03 ноября 2017 года</w:t>
        <w:tab/>
        <w:t>г.</w:t>
        <w:tab/>
        <w:t>Казань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48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1"/>
        <w:tabs>
          <w:tab w:leader="none" w:pos="5831" w:val="left"/>
          <w:tab w:leader="none" w:pos="1007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8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Заместителя Председателя Комиссии:</w:t>
        <w:tab/>
        <w:t>Яфизова А.А.</w:t>
        <w:tab/>
        <w:t>- начальника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59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отдела,</w:t>
      </w:r>
    </w:p>
    <w:p>
      <w:pPr>
        <w:pStyle w:val="Style21"/>
        <w:tabs>
          <w:tab w:leader="none" w:pos="583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8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Членов Комиссии:</w:t>
        <w:tab/>
        <w:t>Амировой В.Р. - ведущего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59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специалиста-эксперта,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5940" w:right="6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Закировой А.Р. - специалиста- эксперта,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362" w:line="317" w:lineRule="exact"/>
        <w:ind w:left="20" w:right="48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присутствии представителя заказчика ГБУ «БЕЗОПАСНОСТЬ ДОРОЖНОГО ДВИЖЕНИЯ» Чупиной ЕЛО. (доверенность от 02.11.2017г. №87), в отсутствии представителя заявителя ООО «Норд Пром», о времени и месте рассмотрения жалобы уведомленного надлежащим образом, рассмотрев жалобу ООО «Норд Пром» на действия государственного заказчика ГБУ «БЕЗОПАСНОСТЬ ДОРОЖНОГО ДВИЖЕНИЯ» при проведении электронного аукциона №0311200046517000140 на предмет: «Выполнение работ по ремонту помещений административного здания»,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center"/>
        <w:spacing w:before="0" w:after="290" w:line="240" w:lineRule="exact"/>
        <w:ind w:left="0" w:right="240" w:firstLine="0"/>
      </w:pPr>
      <w:r>
        <w:rPr>
          <w:rStyle w:val="CharStyle24"/>
        </w:rPr>
        <w:t>УСТАНОВИЛА: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377" w:line="336" w:lineRule="exact"/>
        <w:ind w:left="20" w:right="48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Извещение о проведении электронного аукциона №0311200046517000140 размещено на официальном сайте Российской Федерации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1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138945</w:t>
      </w:r>
      <w:r>
        <w:br w:type="page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31" w:line="24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28.09.2017г.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6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- ГБУ «БЕЗОПАСНОСТЬ ДОРОЖНОГО ДВИЖЕНИЯ».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 - 1 009 999, 76 руб.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Суть жалобы, по мнению заявителя, закупка проводится с нарушением норм действующего законодательства.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Изучив материалы, а также доводы сторон, Комиссия установила следующее.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протоколу от 17 октября 2017 г. №140/1 подведения итогов электронного аукциона, заявка заявителя признана не соответствующей требованиям, на основании пункта 1 части 6 статьи 69 Закона о контрактной системе, а именно, непредставление документов, предусмотренных пунктом 2 части</w:t>
      </w:r>
    </w:p>
    <w:p>
      <w:pPr>
        <w:pStyle w:val="Style2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статьи 66 Закона о контрактной системе и пп.2.2.2. п.2.2. ч.2 документации об электронном аукционе. Участником во второй части заявки не представлена Декларация о соответствии участника аукциона требованиям, установленным пунктами: - участник закупки - юридическое лицо,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правонарушения, предусмотренного статьей 19.28 Кодекса Российской Федерации</w:t>
      </w:r>
    </w:p>
    <w:p>
      <w:pPr>
        <w:pStyle w:val="Style2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административных правонарушения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Вместе с тем, при подаче заявки на сайте, участник, отмечая соответствующие пункты («проставляя галочки»), тем самым выражает свое согласие и сообщает о соответствии требованиям к участникам закупки, в том числе предусмотренной статьей 31 Закона о контрактной системе.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Заявка заявителя ООО «Норд Пром» на участие электронном аукционе, направленная оператору электронной площадки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etp.zakazrf.ru,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содержала информацию о соответствии участника требованиям, предусмотренными пунктами 3-9 части 1 статьи 31 Закона о контрактной системе, в том числе информацию, что участник закупки - юридическое лицо,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данном случае участник отметил соответствующие пункты при оформлении заявки на сайте, то есть подтвердил свое соответствие установленным законом требованиям к участнику торгов.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Данный документ был подписан электронной цифровой подписью участника закупки ООО «Норд Пром».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действия заказчика, принявшего решение о несоответствии второй части заявки участника, нарушают часть 2 статьи 69 Закона о контрактной системе.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связи с тем, что выявленные нарушения не повлияли на результаты определения поставщика (подрядчика, исполнителя) предписание об устранении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нарушения законодательства о контрактной системе не выдавать.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374" w:line="312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основании вышеизложенного, руководствуясь пунктом 2 части 22 статьи 99, частью 8 статьи 106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315" w:line="220" w:lineRule="exact"/>
        <w:ind w:left="4660" w:right="0" w:firstLine="0"/>
      </w:pPr>
      <w:r>
        <w:rPr>
          <w:lang w:val="ru-RU" w:eastAsia="ru-RU" w:bidi="ru-RU"/>
          <w:w w:val="100"/>
          <w:color w:val="000000"/>
          <w:position w:val="0"/>
        </w:rPr>
        <w:t>РЕШИЛА:</w:t>
      </w:r>
    </w:p>
    <w:p>
      <w:pPr>
        <w:pStyle w:val="Style2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ООО «Норд Пром» на действия государственного заказчика ГБУ «БЕЗОПАСНОСТЬ ДОРОЖНОГО ДВИЖЕНИЯ» при проведении электронного аукциона №0311200046517000140 на предмет: «Выполнение работ по ремонту помещений административного здания», обоснованной.</w:t>
      </w:r>
    </w:p>
    <w:p>
      <w:pPr>
        <w:pStyle w:val="Style2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заказчика ГБУ «БЕЗОПАСНОСТЬ ДОРОЖНОГО ДВИЖЕНИЯ» нарушившим требования части 2 статьи 69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2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Выдать заказчику ГБУ «БЕЗОПАСНОСТЬ ДОРОЖНОГО ДВИЖЕНИЯ», оператору электронной площадки - АО «Агентство по государственному заказу, инвестиционной деятельности и межрегиональным связям Республики Татарстан» предписание об устранении нарушений требований действующего законодательства Российской Федерации о контрактной системе.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962" w:line="317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Комиссии может быть обжаловано в судебном порядке в течение трех месяцев со дня его принятия.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667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Председателя Комиссии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146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Амирова Венера Ришатовна </w:t>
      </w:r>
      <w:r>
        <w:rPr>
          <w:rStyle w:val="CharStyle29"/>
        </w:rPr>
        <w:t>(</w:t>
      </w:r>
      <w:r>
        <w:rPr>
          <w:rStyle w:val="CharStyle30"/>
        </w:rPr>
        <w:t>843</w:t>
      </w:r>
      <w:r>
        <w:rPr>
          <w:rStyle w:val="CharStyle29"/>
        </w:rPr>
        <w:t>)</w:t>
      </w:r>
      <w:r>
        <w:rPr>
          <w:rStyle w:val="CharStyle30"/>
        </w:rPr>
        <w:t>238</w:t>
      </w:r>
      <w:r>
        <w:rPr>
          <w:rStyle w:val="CharStyle29"/>
        </w:rPr>
        <w:t>-</w:t>
      </w:r>
      <w:r>
        <w:rPr>
          <w:rStyle w:val="CharStyle30"/>
        </w:rPr>
        <w:t>24-86</w:t>
      </w:r>
    </w:p>
    <w:sectPr>
      <w:type w:val="continuous"/>
      <w:pgSz w:w="11906" w:h="16838"/>
      <w:pgMar w:top="926" w:left="627" w:right="598" w:bottom="67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5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0"/>
    </w:rPr>
  </w:style>
  <w:style w:type="character" w:customStyle="1" w:styleId="CharStyle5">
    <w:name w:val="Основной текст (2) + 10,5 pt"/>
    <w:basedOn w:val="CharStyle4"/>
    <w:rPr>
      <w:lang w:val="ru-RU" w:eastAsia="ru-RU" w:bidi="ru-RU"/>
      <w:sz w:val="21"/>
      <w:szCs w:val="21"/>
      <w:w w:val="100"/>
      <w:color w:val="000000"/>
      <w:position w:val="0"/>
    </w:rPr>
  </w:style>
  <w:style w:type="character" w:customStyle="1" w:styleId="CharStyle6">
    <w:name w:val="Основной текст (2)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9">
    <w:name w:val="Основной текст (3)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Заголовок №1_"/>
    <w:basedOn w:val="DefaultParagraphFont"/>
    <w:link w:val="Style10"/>
    <w:rPr>
      <w:b w:val="0"/>
      <w:bCs w:val="0"/>
      <w:i/>
      <w:iCs/>
      <w:u w:val="none"/>
      <w:strike w:val="0"/>
      <w:smallCaps w:val="0"/>
      <w:sz w:val="11"/>
      <w:szCs w:val="11"/>
      <w:rFonts w:ascii="Corbel" w:eastAsia="Corbel" w:hAnsi="Corbel" w:cs="Corbel"/>
    </w:rPr>
  </w:style>
  <w:style w:type="character" w:customStyle="1" w:styleId="CharStyle12">
    <w:name w:val="Заголовок №1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Заголовок №1"/>
    <w:basedOn w:val="CharStyle11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4">
    <w:name w:val="Заголовок №1 + Microsoft Sans Serif,10 pt,Не курсив"/>
    <w:basedOn w:val="CharStyle11"/>
    <w:rPr>
      <w:lang w:val="ru-RU" w:eastAsia="ru-RU" w:bidi="ru-RU"/>
      <w:i/>
      <w:iCs/>
      <w:sz w:val="20"/>
      <w:szCs w:val="20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character" w:customStyle="1" w:styleId="CharStyle16">
    <w:name w:val="Основной текст (4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17">
    <w:name w:val="Основной текст (4)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Основной текст (5) Exact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0"/>
      <w:szCs w:val="20"/>
      <w:rFonts w:ascii="Corbel" w:eastAsia="Corbel" w:hAnsi="Corbel" w:cs="Corbel"/>
      <w:spacing w:val="-6"/>
    </w:rPr>
  </w:style>
  <w:style w:type="character" w:customStyle="1" w:styleId="CharStyle20">
    <w:name w:val="Основной текст (5) Exact"/>
    <w:basedOn w:val="CharStyle19"/>
    <w:rPr>
      <w:lang w:val="ru-RU" w:eastAsia="ru-RU" w:bidi="ru-RU"/>
      <w:w w:val="100"/>
      <w:color w:val="000000"/>
      <w:position w:val="0"/>
    </w:rPr>
  </w:style>
  <w:style w:type="character" w:customStyle="1" w:styleId="CharStyle22">
    <w:name w:val="Основной текст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3">
    <w:name w:val="Основной текст"/>
    <w:basedOn w:val="CharStyle22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4">
    <w:name w:val="Основной текст + Интервал 3 pt"/>
    <w:basedOn w:val="CharStyle22"/>
    <w:rPr>
      <w:lang w:val="ru-RU" w:eastAsia="ru-RU" w:bidi="ru-RU"/>
      <w:sz w:val="24"/>
      <w:szCs w:val="24"/>
      <w:w w:val="100"/>
      <w:spacing w:val="70"/>
      <w:color w:val="000000"/>
      <w:position w:val="0"/>
    </w:rPr>
  </w:style>
  <w:style w:type="character" w:customStyle="1" w:styleId="CharStyle26">
    <w:name w:val="Основной текст (6)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70"/>
    </w:rPr>
  </w:style>
  <w:style w:type="character" w:customStyle="1" w:styleId="CharStyle28">
    <w:name w:val="Основной текст (7)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9">
    <w:name w:val="Основной текст (7)"/>
    <w:basedOn w:val="CharStyle2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0">
    <w:name w:val="Основной текст (7)"/>
    <w:basedOn w:val="CharStyle28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69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0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180" w:after="300" w:line="187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outlineLvl w:val="0"/>
      <w:spacing w:before="300" w:line="0" w:lineRule="exact"/>
    </w:pPr>
    <w:rPr>
      <w:b w:val="0"/>
      <w:bCs w:val="0"/>
      <w:i/>
      <w:iCs/>
      <w:u w:val="none"/>
      <w:strike w:val="0"/>
      <w:smallCaps w:val="0"/>
      <w:sz w:val="11"/>
      <w:szCs w:val="11"/>
      <w:rFonts w:ascii="Corbel" w:eastAsia="Corbel" w:hAnsi="Corbel" w:cs="Corbel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FFFFFF"/>
      <w:jc w:val="center"/>
      <w:spacing w:before="180" w:line="197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Corbel" w:eastAsia="Corbel" w:hAnsi="Corbel" w:cs="Corbel"/>
      <w:spacing w:val="-6"/>
    </w:rPr>
  </w:style>
  <w:style w:type="paragraph" w:customStyle="1" w:styleId="Style21">
    <w:name w:val="Основной текст"/>
    <w:basedOn w:val="Normal"/>
    <w:link w:val="CharStyle22"/>
    <w:pPr>
      <w:widowControl w:val="0"/>
      <w:shd w:val="clear" w:color="auto" w:fill="FFFFFF"/>
      <w:spacing w:line="307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5">
    <w:name w:val="Основной текст (6)"/>
    <w:basedOn w:val="Normal"/>
    <w:link w:val="CharStyle26"/>
    <w:pPr>
      <w:widowControl w:val="0"/>
      <w:shd w:val="clear" w:color="auto" w:fill="FFFFFF"/>
      <w:spacing w:before="300" w:after="42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70"/>
    </w:rPr>
  </w:style>
  <w:style w:type="paragraph" w:customStyle="1" w:styleId="Style27">
    <w:name w:val="Основной текст (7)"/>
    <w:basedOn w:val="Normal"/>
    <w:link w:val="CharStyle28"/>
    <w:pPr>
      <w:widowControl w:val="0"/>
      <w:shd w:val="clear" w:color="auto" w:fill="FFFFFF"/>
      <w:spacing w:before="1560" w:line="269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