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3"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Государственному заказчику</w:t>
      </w:r>
    </w:p>
    <w:p>
      <w:pPr>
        <w:pStyle w:val="Style7"/>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Департаменту Смоленской области по строительству и жилищно-коммунальному хозяйству</w:t>
      </w:r>
    </w:p>
    <w:p>
      <w:pPr>
        <w:pStyle w:val="Style3"/>
        <w:widowControl w:val="0"/>
        <w:keepNext w:val="0"/>
        <w:keepLines w:val="0"/>
        <w:shd w:val="clear" w:color="auto" w:fill="auto"/>
        <w:bidi w:val="0"/>
        <w:jc w:val="left"/>
        <w:spacing w:before="0" w:after="0" w:line="235" w:lineRule="exact"/>
        <w:ind w:left="0" w:right="0" w:firstLine="0"/>
        <w:sectPr>
          <w:footnotePr>
            <w:pos w:val="pageBottom"/>
            <w:numFmt w:val="decimal"/>
            <w:numRestart w:val="continuous"/>
          </w:footnotePr>
          <w:type w:val="continuous"/>
          <w:pgSz w:w="16838" w:h="23810"/>
          <w:pgMar w:top="4166" w:left="4269" w:right="3131" w:bottom="3840" w:header="0" w:footer="3" w:gutter="0"/>
          <w:rtlGutter w:val="0"/>
          <w:cols w:num="2" w:space="720" w:equalWidth="0">
            <w:col w:w="3202" w:space="1094"/>
            <w:col w:w="5141"/>
          </w:cols>
          <w:noEndnote/>
          <w:docGrid w:linePitch="360"/>
        </w:sectPr>
      </w:pPr>
      <w:r>
        <w:rPr>
          <w:lang w:val="ru-RU" w:eastAsia="ru-RU" w:bidi="ru-RU"/>
          <w:w w:val="100"/>
          <w:spacing w:val="0"/>
          <w:color w:val="000000"/>
          <w:position w:val="0"/>
        </w:rPr>
        <w:t>ул. Октябрьской Революции, д. 14а, г. Смоленск, 214000</w:t>
      </w:r>
    </w:p>
    <w:p>
      <w:pPr>
        <w:widowControl w:val="0"/>
        <w:spacing w:before="27" w:after="2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166" w:wrap="around" w:vAnchor="text" w:hAnchor="margin" w:x="-277" w:y="1940"/>
        <w:widowControl w:val="0"/>
        <w:keepNext w:val="0"/>
        <w:keepLines w:val="0"/>
        <w:shd w:val="clear" w:color="auto" w:fill="auto"/>
        <w:bidi w:val="0"/>
        <w:jc w:val="left"/>
        <w:spacing w:before="0" w:after="0" w:line="160" w:lineRule="exact"/>
        <w:ind w:left="0" w:right="0" w:firstLine="0"/>
      </w:pPr>
      <w:r>
        <w:rPr>
          <w:rStyle w:val="CharStyle9"/>
          <w:b/>
          <w:bCs/>
          <w:spacing w:val="0"/>
        </w:rPr>
        <w:t>на №</w:t>
      </w:r>
    </w:p>
    <w:p>
      <w:pPr>
        <w:widowControl w:val="0"/>
        <w:rPr>
          <w:sz w:val="2"/>
          <w:szCs w:val="2"/>
        </w:rPr>
      </w:pPr>
    </w:p>
    <w:p>
      <w:pPr>
        <w:pStyle w:val="Style7"/>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0"/>
        <w:widowControl w:val="0"/>
        <w:keepNext w:val="0"/>
        <w:keepLines w:val="0"/>
        <w:shd w:val="clear" w:color="auto" w:fill="auto"/>
        <w:bidi w:val="0"/>
        <w:spacing w:before="0" w:after="174"/>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2"/>
        <w:widowControl w:val="0"/>
        <w:keepNext w:val="0"/>
        <w:keepLines w:val="0"/>
        <w:shd w:val="clear" w:color="auto" w:fill="auto"/>
        <w:bidi w:val="0"/>
        <w:jc w:val="left"/>
        <w:spacing w:before="0" w:after="219" w:line="180" w:lineRule="exact"/>
        <w:ind w:left="242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170" w:lineRule="exact"/>
        <w:ind w:left="1900" w:right="0" w:firstLine="0"/>
      </w:pP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Уполномоченному органу</w:t>
      </w:r>
    </w:p>
    <w:p>
      <w:pPr>
        <w:pStyle w:val="Style7"/>
        <w:widowControl w:val="0"/>
        <w:keepNext w:val="0"/>
        <w:keepLines w:val="0"/>
        <w:shd w:val="clear" w:color="auto" w:fill="auto"/>
        <w:bidi w:val="0"/>
        <w:jc w:val="left"/>
        <w:spacing w:before="0" w:after="263" w:line="269" w:lineRule="exact"/>
        <w:ind w:left="20" w:right="0" w:firstLine="0"/>
      </w:pPr>
      <w:r>
        <w:rPr>
          <w:lang w:val="ru-RU" w:eastAsia="ru-RU" w:bidi="ru-RU"/>
          <w:sz w:val="24"/>
          <w:szCs w:val="24"/>
          <w:w w:val="100"/>
          <w:spacing w:val="0"/>
          <w:color w:val="000000"/>
          <w:position w:val="0"/>
        </w:rPr>
        <w:t xml:space="preserve">Главному управлению Смоленской области по регулированию контрактной системы </w:t>
      </w:r>
      <w:r>
        <w:rPr>
          <w:rStyle w:val="CharStyle14"/>
        </w:rPr>
        <w:t>пл. Ленина, д. 1, оф.321 г. Смоленск, 214008</w:t>
      </w:r>
    </w:p>
    <w:p>
      <w:pPr>
        <w:pStyle w:val="Style5"/>
        <w:widowControl w:val="0"/>
        <w:keepNext w:val="0"/>
        <w:keepLines w:val="0"/>
        <w:shd w:val="clear" w:color="auto" w:fill="auto"/>
        <w:bidi w:val="0"/>
        <w:jc w:val="left"/>
        <w:spacing w:before="0" w:after="12" w:line="240" w:lineRule="exact"/>
        <w:ind w:left="20" w:right="0" w:firstLine="0"/>
      </w:pPr>
      <w:r>
        <w:rPr>
          <w:lang w:val="ru-RU" w:eastAsia="ru-RU" w:bidi="ru-RU"/>
          <w:sz w:val="24"/>
          <w:szCs w:val="24"/>
          <w:w w:val="100"/>
          <w:spacing w:val="0"/>
          <w:color w:val="000000"/>
          <w:position w:val="0"/>
        </w:rPr>
        <w:t>Заявителю</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«НЕОЛАНТ Запад»</w:t>
      </w:r>
    </w:p>
    <w:p>
      <w:pPr>
        <w:pStyle w:val="Style3"/>
        <w:widowControl w:val="0"/>
        <w:keepNext w:val="0"/>
        <w:keepLines w:val="0"/>
        <w:shd w:val="clear" w:color="auto" w:fill="auto"/>
        <w:bidi w:val="0"/>
        <w:jc w:val="left"/>
        <w:spacing w:before="0" w:after="0" w:line="230" w:lineRule="exact"/>
        <w:ind w:left="20" w:right="0" w:firstLine="0"/>
        <w:sectPr>
          <w:type w:val="continuous"/>
          <w:pgSz w:w="16838" w:h="23810"/>
          <w:pgMar w:top="4151" w:left="4043" w:right="3025" w:bottom="9277" w:header="0" w:footer="3" w:gutter="0"/>
          <w:rtlGutter w:val="0"/>
          <w:cols w:num="2" w:space="720" w:equalWidth="0">
            <w:col w:w="3648" w:space="878"/>
            <w:col w:w="5242"/>
          </w:cols>
          <w:noEndnote/>
          <w:docGrid w:linePitch="360"/>
        </w:sectPr>
      </w:pPr>
      <w:r>
        <w:rPr>
          <w:lang w:val="ru-RU" w:eastAsia="ru-RU" w:bidi="ru-RU"/>
          <w:w w:val="100"/>
          <w:spacing w:val="0"/>
          <w:color w:val="000000"/>
          <w:position w:val="0"/>
        </w:rPr>
        <w:t>ул. Бакунина, д.5, оф.528, г. Санкт-Петербург, 191024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125"/>
        <w:ind w:left="200" w:right="0" w:firstLine="0"/>
      </w:pPr>
      <w:r>
        <w:rPr>
          <w:lang w:val="ru-RU" w:eastAsia="ru-RU" w:bidi="ru-RU"/>
          <w:sz w:val="24"/>
          <w:szCs w:val="24"/>
          <w:w w:val="100"/>
          <w:spacing w:val="0"/>
          <w:color w:val="000000"/>
          <w:position w:val="0"/>
        </w:rPr>
        <w:t>РЕШЕНИЕ по делу №260/17-ГЗ/Ж о нарушении законодательства Российской Федерации о контрактной системе</w:t>
      </w:r>
    </w:p>
    <w:p>
      <w:pPr>
        <w:pStyle w:val="Style7"/>
        <w:tabs>
          <w:tab w:leader="none" w:pos="8690" w:val="left"/>
        </w:tabs>
        <w:widowControl w:val="0"/>
        <w:keepNext w:val="0"/>
        <w:keepLines w:val="0"/>
        <w:shd w:val="clear" w:color="auto" w:fill="auto"/>
        <w:bidi w:val="0"/>
        <w:jc w:val="both"/>
        <w:spacing w:before="0" w:after="146" w:line="240" w:lineRule="exact"/>
        <w:ind w:left="60" w:right="0" w:firstLine="0"/>
      </w:pPr>
      <w:r>
        <w:rPr>
          <w:lang w:val="ru-RU" w:eastAsia="ru-RU" w:bidi="ru-RU"/>
          <w:sz w:val="24"/>
          <w:szCs w:val="24"/>
          <w:w w:val="100"/>
          <w:spacing w:val="0"/>
          <w:color w:val="000000"/>
          <w:position w:val="0"/>
        </w:rPr>
        <w:t>02 ноября 2017 года</w:t>
        <w:tab/>
        <w:t>г. Смоленск</w:t>
      </w:r>
    </w:p>
    <w:p>
      <w:pPr>
        <w:pStyle w:val="Style7"/>
        <w:widowControl w:val="0"/>
        <w:keepNext w:val="0"/>
        <w:keepLines w:val="0"/>
        <w:shd w:val="clear" w:color="auto" w:fill="auto"/>
        <w:bidi w:val="0"/>
        <w:jc w:val="both"/>
        <w:spacing w:before="0" w:after="502" w:line="240" w:lineRule="exact"/>
        <w:ind w:left="60" w:right="0" w:firstLine="0"/>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pStyle w:val="Style7"/>
        <w:widowControl w:val="0"/>
        <w:keepNext w:val="0"/>
        <w:keepLines w:val="0"/>
        <w:shd w:val="clear" w:color="auto" w:fill="auto"/>
        <w:bidi w:val="0"/>
        <w:jc w:val="both"/>
        <w:spacing w:before="0" w:after="12" w:line="240" w:lineRule="exact"/>
        <w:ind w:left="60" w:right="0" w:firstLine="0"/>
      </w:pPr>
      <w:r>
        <w:rPr>
          <w:lang w:val="ru-RU" w:eastAsia="ru-RU" w:bidi="ru-RU"/>
          <w:sz w:val="24"/>
          <w:szCs w:val="24"/>
          <w:w w:val="100"/>
          <w:spacing w:val="0"/>
          <w:color w:val="000000"/>
          <w:position w:val="0"/>
        </w:rPr>
        <w:t>Председатель Комиссии - Н.А. Акжитова - руководитель Смоленского</w:t>
      </w:r>
    </w:p>
    <w:p>
      <w:pPr>
        <w:pStyle w:val="Style7"/>
        <w:widowControl w:val="0"/>
        <w:keepNext w:val="0"/>
        <w:keepLines w:val="0"/>
        <w:shd w:val="clear" w:color="auto" w:fill="auto"/>
        <w:bidi w:val="0"/>
        <w:jc w:val="left"/>
        <w:spacing w:before="0" w:after="0" w:line="240" w:lineRule="exact"/>
        <w:ind w:left="6080" w:right="0" w:firstLine="0"/>
        <w:sectPr>
          <w:type w:val="continuous"/>
          <w:pgSz w:w="16838" w:h="23810"/>
          <w:pgMar w:top="4166" w:left="3794" w:right="2666" w:bottom="9292" w:header="0" w:footer="3" w:gutter="0"/>
          <w:rtlGutter w:val="0"/>
          <w:cols w:space="720"/>
          <w:noEndnote/>
          <w:docGrid w:linePitch="360"/>
        </w:sectPr>
      </w:pPr>
      <w:r>
        <w:rPr>
          <w:lang w:val="ru-RU" w:eastAsia="ru-RU" w:bidi="ru-RU"/>
          <w:sz w:val="24"/>
          <w:szCs w:val="24"/>
          <w:w w:val="100"/>
          <w:spacing w:val="0"/>
          <w:color w:val="000000"/>
          <w:position w:val="0"/>
        </w:rPr>
        <w:t>У ФАС России;</w:t>
      </w:r>
    </w:p>
    <w:p>
      <w:pPr>
        <w:pStyle w:val="Style7"/>
        <w:framePr w:w="1981" w:h="240" w:wrap="none" w:vAnchor="text" w:hAnchor="margin" w:x="4622"/>
        <w:widowControl w:val="0"/>
        <w:keepNext w:val="0"/>
        <w:keepLines w:val="0"/>
        <w:shd w:val="clear" w:color="auto" w:fill="auto"/>
        <w:bidi w:val="0"/>
        <w:jc w:val="left"/>
        <w:spacing w:before="0" w:after="0" w:line="240" w:lineRule="exact"/>
        <w:ind w:left="100" w:right="0" w:firstLine="0"/>
      </w:pPr>
      <w:r>
        <w:rPr>
          <w:rStyle w:val="CharStyle16"/>
          <w:spacing w:val="0"/>
        </w:rPr>
        <w:t xml:space="preserve">- В.П. </w:t>
      </w:r>
      <w:r>
        <w:rPr>
          <w:rStyle w:val="CharStyle15"/>
          <w:spacing w:val="0"/>
        </w:rPr>
        <w:t>Епейкин</w:t>
      </w:r>
    </w:p>
    <w:p>
      <w:pPr>
        <w:pStyle w:val="Style7"/>
        <w:framePr w:w="2307" w:h="240" w:wrap="none" w:vAnchor="text" w:hAnchor="margin" w:x="1353" w:y="10"/>
        <w:widowControl w:val="0"/>
        <w:keepNext w:val="0"/>
        <w:keepLines w:val="0"/>
        <w:shd w:val="clear" w:color="auto" w:fill="auto"/>
        <w:bidi w:val="0"/>
        <w:jc w:val="left"/>
        <w:spacing w:before="0" w:after="0" w:line="240" w:lineRule="exact"/>
        <w:ind w:left="100" w:right="0" w:firstLine="0"/>
      </w:pPr>
      <w:r>
        <w:rPr>
          <w:rStyle w:val="CharStyle15"/>
          <w:spacing w:val="0"/>
        </w:rPr>
        <w:t>Члены Комиссии:</w:t>
      </w:r>
    </w:p>
    <w:p>
      <w:pPr>
        <w:pStyle w:val="Style7"/>
        <w:framePr w:w="2058" w:h="1862" w:wrap="none" w:vAnchor="text" w:hAnchor="margin" w:x="4636" w:y="1292"/>
        <w:widowControl w:val="0"/>
        <w:keepNext w:val="0"/>
        <w:keepLines w:val="0"/>
        <w:shd w:val="clear" w:color="auto" w:fill="auto"/>
        <w:bidi w:val="0"/>
        <w:jc w:val="left"/>
        <w:spacing w:before="0" w:after="1337" w:line="240" w:lineRule="exact"/>
        <w:ind w:left="100" w:right="0" w:firstLine="0"/>
      </w:pPr>
      <w:r>
        <w:rPr>
          <w:rStyle w:val="CharStyle15"/>
          <w:spacing w:val="0"/>
        </w:rPr>
        <w:t>- А.Е. Лукашев</w:t>
      </w:r>
    </w:p>
    <w:p>
      <w:pPr>
        <w:pStyle w:val="Style7"/>
        <w:framePr w:w="2058" w:h="1862" w:wrap="none" w:vAnchor="text" w:hAnchor="margin" w:x="4636" w:y="1292"/>
        <w:widowControl w:val="0"/>
        <w:keepNext w:val="0"/>
        <w:keepLines w:val="0"/>
        <w:shd w:val="clear" w:color="auto" w:fill="auto"/>
        <w:bidi w:val="0"/>
        <w:jc w:val="left"/>
        <w:spacing w:before="0" w:after="0" w:line="240" w:lineRule="exact"/>
        <w:ind w:left="280" w:right="0" w:firstLine="0"/>
      </w:pPr>
      <w:r>
        <w:rPr>
          <w:rStyle w:val="CharStyle15"/>
          <w:spacing w:val="0"/>
        </w:rPr>
        <w:t>А.О. Казакова</w:t>
      </w:r>
    </w:p>
    <w:p>
      <w:pPr>
        <w:pStyle w:val="Style17"/>
        <w:framePr w:w="426" w:h="128" w:wrap="none" w:vAnchor="text" w:hAnchor="margin" w:x="11145" w:y="4417"/>
        <w:widowControl w:val="0"/>
        <w:keepNext w:val="0"/>
        <w:keepLines w:val="0"/>
        <w:shd w:val="clear" w:color="auto" w:fill="auto"/>
        <w:bidi w:val="0"/>
        <w:jc w:val="left"/>
        <w:spacing w:before="0" w:after="0" w:line="110" w:lineRule="exact"/>
        <w:ind w:left="100" w:right="0" w:firstLine="0"/>
      </w:pPr>
      <w:r>
        <w:rPr>
          <w:lang w:val="ru-RU" w:eastAsia="ru-RU" w:bidi="ru-RU"/>
          <w:spacing w:val="0"/>
          <w:color w:val="000000"/>
          <w:position w:val="0"/>
        </w:rPr>
        <w:t>А</w:t>
      </w:r>
    </w:p>
    <w:p>
      <w:pPr>
        <w:pStyle w:val="Style7"/>
        <w:numPr>
          <w:ilvl w:val="0"/>
          <w:numId w:val="1"/>
        </w:numPr>
        <w:framePr w:w="4246" w:h="4442" w:wrap="none" w:vAnchor="text" w:hAnchor="margin" w:x="7305" w:y="3"/>
        <w:widowControl w:val="0"/>
        <w:keepNext w:val="0"/>
        <w:keepLines w:val="0"/>
        <w:shd w:val="clear" w:color="auto" w:fill="auto"/>
        <w:bidi w:val="0"/>
        <w:jc w:val="both"/>
        <w:spacing w:before="0" w:after="0"/>
        <w:ind w:left="120" w:right="120" w:firstLine="0"/>
      </w:pPr>
      <w:r>
        <w:rPr>
          <w:rStyle w:val="CharStyle15"/>
          <w:spacing w:val="0"/>
        </w:rPr>
        <w:t xml:space="preserve"> начальник отдела контроля закупок и антимонопольного контроля органов власти Смоленского У ФАС России;</w:t>
      </w:r>
    </w:p>
    <w:p>
      <w:pPr>
        <w:pStyle w:val="Style7"/>
        <w:numPr>
          <w:ilvl w:val="0"/>
          <w:numId w:val="1"/>
        </w:numPr>
        <w:framePr w:w="4246" w:h="4442" w:wrap="none" w:vAnchor="text" w:hAnchor="margin" w:x="7305" w:y="3"/>
        <w:widowControl w:val="0"/>
        <w:keepNext w:val="0"/>
        <w:keepLines w:val="0"/>
        <w:shd w:val="clear" w:color="auto" w:fill="auto"/>
        <w:bidi w:val="0"/>
        <w:jc w:val="both"/>
        <w:spacing w:before="0" w:after="0"/>
        <w:ind w:left="120" w:right="120" w:firstLine="0"/>
      </w:pPr>
      <w:r>
        <w:rPr>
          <w:rStyle w:val="CharStyle15"/>
          <w:spacing w:val="0"/>
        </w:rPr>
        <w:t xml:space="preserve"> ведущий специалист-эксперт отдела контроля закупок и антимонопольного контроля органов власти Смоленского У ФАС России;</w:t>
      </w:r>
    </w:p>
    <w:p>
      <w:pPr>
        <w:pStyle w:val="Style7"/>
        <w:numPr>
          <w:ilvl w:val="0"/>
          <w:numId w:val="1"/>
        </w:numPr>
        <w:framePr w:w="4246" w:h="4442" w:wrap="none" w:vAnchor="text" w:hAnchor="margin" w:x="7305" w:y="3"/>
        <w:widowControl w:val="0"/>
        <w:keepNext w:val="0"/>
        <w:keepLines w:val="0"/>
        <w:shd w:val="clear" w:color="auto" w:fill="auto"/>
        <w:bidi w:val="0"/>
        <w:jc w:val="both"/>
        <w:spacing w:before="0" w:after="0"/>
        <w:ind w:left="120" w:right="280" w:firstLine="0"/>
      </w:pPr>
      <w:r>
        <w:rPr>
          <w:rStyle w:val="CharStyle15"/>
          <w:spacing w:val="0"/>
        </w:rPr>
        <w:t xml:space="preserve"> ведущий специалист-эксперт отдела контроля закупок и антимонопольного контроля органов власти Смоленского УФАС России;</w:t>
      </w:r>
    </w:p>
    <w:p>
      <w:pPr>
        <w:pStyle w:val="Style19"/>
        <w:framePr w:w="1386" w:h="334" w:wrap="none" w:vAnchor="text" w:hAnchor="margin" w:x="9590" w:y="4412"/>
        <w:widowControl w:val="0"/>
        <w:keepNext w:val="0"/>
        <w:keepLines w:val="0"/>
        <w:shd w:val="clear" w:color="auto" w:fill="auto"/>
        <w:bidi w:val="0"/>
        <w:jc w:val="left"/>
        <w:spacing w:before="0" w:after="0" w:line="300" w:lineRule="exact"/>
        <w:ind w:left="100" w:right="0" w:firstLine="0"/>
      </w:pPr>
      <w:r>
        <w:rPr>
          <w:lang w:val="ru-RU" w:eastAsia="ru-RU" w:bidi="ru-RU"/>
          <w:w w:val="100"/>
          <w:spacing w:val="40"/>
          <w:color w:val="000000"/>
          <w:position w:val="0"/>
        </w:rPr>
        <w:t>018905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71" w:lineRule="exact"/>
      </w:pPr>
    </w:p>
    <w:p>
      <w:pPr>
        <w:widowControl w:val="0"/>
        <w:rPr>
          <w:sz w:val="2"/>
          <w:szCs w:val="2"/>
        </w:rPr>
        <w:sectPr>
          <w:type w:val="continuous"/>
          <w:pgSz w:w="16838" w:h="23810"/>
          <w:pgMar w:top="3042" w:left="2464" w:right="2464" w:bottom="3042" w:header="0" w:footer="3" w:gutter="0"/>
          <w:rtlGutter w:val="0"/>
          <w:cols w:space="720"/>
          <w:noEndnote/>
          <w:docGrid w:linePitch="360"/>
        </w:sectPr>
      </w:pPr>
    </w:p>
    <w:p>
      <w:pPr>
        <w:pStyle w:val="Style7"/>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при участии представителей:</w:t>
      </w:r>
    </w:p>
    <w:p>
      <w:pPr>
        <w:pStyle w:val="Style7"/>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от государственного заказчика: Мартинович М.П. представителя по доверенности от</w:t>
      </w:r>
    </w:p>
    <w:p>
      <w:pPr>
        <w:pStyle w:val="Style7"/>
        <w:numPr>
          <w:ilvl w:val="0"/>
          <w:numId w:val="3"/>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 5055Д, Пивоварова С.В. представителя по доверенности 02.11.2017 № 5056Д, Родикова Е.А. представителя по доверенности 02.11.2017 № 5057Д, Гильденкова А.М. представителя по доверенности 02.11.2017 № 5059Д, Конюховой В.Р. представителя по доверенности 02.11.2017 № 5060Д;</w:t>
      </w:r>
    </w:p>
    <w:p>
      <w:pPr>
        <w:pStyle w:val="Style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заявитель на заседание не явился, заявлено ходатайство о рассмотрении жалобы в отсутствие представителя ООО «НЕОЛАНТ Запад»;</w:t>
      </w:r>
    </w:p>
    <w:p>
      <w:pPr>
        <w:pStyle w:val="Style7"/>
        <w:widowControl w:val="0"/>
        <w:keepNext w:val="0"/>
        <w:keepLines w:val="0"/>
        <w:shd w:val="clear" w:color="auto" w:fill="auto"/>
        <w:bidi w:val="0"/>
        <w:jc w:val="both"/>
        <w:spacing w:before="0" w:after="365"/>
        <w:ind w:left="20" w:right="20" w:firstLine="700"/>
      </w:pPr>
      <w:r>
        <w:rPr>
          <w:lang w:val="ru-RU" w:eastAsia="ru-RU" w:bidi="ru-RU"/>
          <w:sz w:val="24"/>
          <w:szCs w:val="24"/>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«НЕОЛАНТ Запад» на положения котировочной документации на право заключить государственный контракт на оказание услуг по проектированию и разработке базы данных для ведения информационной системы обеспечения градостроительной деятельности (ИСОГД) Смоленской области (извещение № 0163200000317005381).</w:t>
      </w:r>
    </w:p>
    <w:p>
      <w:pPr>
        <w:pStyle w:val="Style7"/>
        <w:widowControl w:val="0"/>
        <w:keepNext w:val="0"/>
        <w:keepLines w:val="0"/>
        <w:shd w:val="clear" w:color="auto" w:fill="auto"/>
        <w:bidi w:val="0"/>
        <w:jc w:val="left"/>
        <w:spacing w:before="0" w:after="317" w:line="240" w:lineRule="exact"/>
        <w:ind w:left="4460" w:right="0" w:firstLine="0"/>
      </w:pPr>
      <w:r>
        <w:rPr>
          <w:lang w:val="ru-RU" w:eastAsia="ru-RU" w:bidi="ru-RU"/>
          <w:sz w:val="24"/>
          <w:szCs w:val="24"/>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жалобы ООО «НЕОЛАНТ (далее - Заявитель, Общество) следует, что котировочная документация составлена с нарушением требований закона о контрактной системе.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связи с изложенным Заявитель просит выдать предписание об устранении выявленных нарушений законодательства.</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Представители заказчика с доводами жалобы не согласились, в связи с чем просят признать жалобу необоснованной.</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Извещение о проведении запроса котировок на право заключить государственный контракт на оказание услуг по проектированию и разработке базы данных для ведения информационной системы обеспечения градостроительной деятельности (ИСОГД) Смоленской области и проект контракта размещены</w:t>
      </w:r>
    </w:p>
    <w:p>
      <w:pPr>
        <w:pStyle w:val="Style7"/>
        <w:numPr>
          <w:ilvl w:val="0"/>
          <w:numId w:val="5"/>
        </w:numPr>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 xml:space="preserve"> в единой информационной системе.</w:t>
      </w:r>
    </w:p>
    <w:p>
      <w:pPr>
        <w:pStyle w:val="Style7"/>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- 495 000,00 руб.</w:t>
      </w:r>
    </w:p>
    <w:p>
      <w:pPr>
        <w:pStyle w:val="Style7"/>
        <w:numPr>
          <w:ilvl w:val="0"/>
          <w:numId w:val="7"/>
        </w:numPr>
        <w:tabs>
          <w:tab w:leader="none" w:pos="1043"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первому доводу Заявителя, заказчику требуется оказать услугу по проектированию и разработке базы данных (далее - БД) для ведения информационной системы обеспечения градостроительной деятельности (далее -</w:t>
      </w:r>
    </w:p>
    <w:p>
      <w:pPr>
        <w:pStyle w:val="Style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ИСОГД) Смоленской области, создать общую базу данных для хранения и обработки градостроительной информации по всем районам Смоленской области и произвести наполнение справочников в созданной базе данных. При этом созданная база данных должна быть полностью совместима с базой данных ИСОГД Смоленского района Смоленской области и города Смоленска. Однако в техническом задании котировочной документации отсутствуют требования к составу и содержанию проектной документации.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п. 1 ч. 1 ст. 33 Закона о контрактной системе указано,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п.6 Извещения о проведении запроса котировок, п. 1.1 Технического задания Приложения № 1 к Извещению о проведении запроса котировок и п. 1.1 проекта контракта заказчиком определен объект закупки «оказание услуг по проектированию и разработке базы данных для ведения информационной системы обеспечения градостроительной деятельности Смоленской области».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Комиссией установлено, что в котировочной документации не определены требования к составу и содержанию проектной документации, являющейся объектом закупки.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Кроме того на заседании комиссии представитель заказчика пояснил, что требования к составу и содержанию проектной документации отсутствуют в Техническом задании по причине того, что разрабатывать ее не требуется, основное требование к исполнителю создать базу данных.</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проанализировав вышеуказанное, Комиссия приходит к выводу, что разработанная заказчиком котировочная документация не соответствует предмету закупки, что вводит в заблуждение потенциальных участников закупки и является нарушением п. 1 ч. 1 ст. 33 Закона о контрактной системе.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Кроме того, согласно пояснениям представителей Департамента, предмет закупки не соответствует потребностям заказчика.</w:t>
      </w:r>
    </w:p>
    <w:p>
      <w:pPr>
        <w:pStyle w:val="Style7"/>
        <w:numPr>
          <w:ilvl w:val="0"/>
          <w:numId w:val="7"/>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Второй довод Заявителя сводится к следующему, в п. 3.4 Технического задания установлено, что БД должна позволять загружать и обрабатывать информацию как в части отдельно взятого района области, так и вести обработку интегрированных данных по нескольким районам одновременно. Однако в Техническом задании отсутствуют требования и описания возможных источников поступления информации, форматов данных загружаемых в систему, регламентов загрузки и т.п. Отсутствие описания источников поступления информации в систему и требований к форматам представления информации делает невозможным проектирование и создание структуры базы данных и самих процедур загрузки информации. Кроме того, можно предположить, что п.3.4 в неявном виде требует разработки в рамках оказания услуг не только баз данных, но и не специфицированной информационной системы.</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Заказчик на заседании комиссии пояснил, что в п. 4 Технического задания определен «Состав данных по сущностям». На основании описаний сущностей, указанных в данном пункте, возможно, выполнить создание базы данных.</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Комиссия отмечает, что в Техническом задании указан формат базы данных </w:t>
      </w:r>
      <w:r>
        <w:rPr>
          <w:lang w:val="en-US" w:eastAsia="en-US" w:bidi="en-US"/>
          <w:sz w:val="24"/>
          <w:szCs w:val="24"/>
          <w:w w:val="100"/>
          <w:spacing w:val="0"/>
          <w:color w:val="000000"/>
          <w:position w:val="0"/>
        </w:rPr>
        <w:t>MS SQL Server.</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источники и форматы, поступающие в дальнейшем в базу данных информации могут быть любые.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Формирование базы данных должно происходить на основании описании сущностей указанных п. 4 Технического задания.</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Следовательно, данная услуга не устанавливает требования к поступлению информации в базу данных из других источников.</w:t>
      </w:r>
    </w:p>
    <w:p>
      <w:pPr>
        <w:pStyle w:val="Style7"/>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Создание информационной системы в рамках данной закупки не требуется.</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Соответственно, Комиссия признала данный довод Заявителя необоснованным.</w:t>
      </w:r>
    </w:p>
    <w:p>
      <w:pPr>
        <w:pStyle w:val="Style7"/>
        <w:numPr>
          <w:ilvl w:val="0"/>
          <w:numId w:val="7"/>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Заявитель указывает, что в п.п. 3.5-3.10 указание торговых марок и наименований продуктов без указания фразы «или эквивалент» противоречит положениям ч. 1 ст. 33 Закона о контрактной системе. Кроме того, в Техническом задании отсутствуют требования по тиражированию решений информационной системы обеспечения градостроительной деятельности Смоленского района и города Смоленска при проектировании и разработке общей базы данных градостроительной информации Смоленской области.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 2 ч. 1 ст. 33 Закона о контрактной системе заказчик при составлении описания в документации о закупке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В п. 3.6 Технического задания установлено, что система управления базами данных (далее - СУБД) - </w:t>
      </w:r>
      <w:r>
        <w:rPr>
          <w:lang w:val="en-US" w:eastAsia="en-US" w:bidi="en-US"/>
          <w:sz w:val="24"/>
          <w:szCs w:val="24"/>
          <w:w w:val="100"/>
          <w:spacing w:val="0"/>
          <w:color w:val="000000"/>
          <w:position w:val="0"/>
        </w:rPr>
        <w:t xml:space="preserve">MS SQL Server </w:t>
      </w:r>
      <w:r>
        <w:rPr>
          <w:lang w:val="ru-RU" w:eastAsia="ru-RU" w:bidi="ru-RU"/>
          <w:sz w:val="24"/>
          <w:szCs w:val="24"/>
          <w:w w:val="100"/>
          <w:spacing w:val="0"/>
          <w:color w:val="000000"/>
          <w:position w:val="0"/>
        </w:rPr>
        <w:t>выбрана по следующим причинам: на основе данной СУБД работают хорошо зарекомендовавшие себя ИСОГД Смоленского района и города Смоленска. Производительность и надежность систем полностью удовлетворяет пользователей.</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Администрациях Смоленской области, Смоленского района и города Смоленска имеются специалисты (администраторы), имеющие навыки и опыт эксплуатации данной СУБД.</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Имеются уже развернутые СУБД </w:t>
      </w:r>
      <w:r>
        <w:rPr>
          <w:lang w:val="en-US" w:eastAsia="en-US" w:bidi="en-US"/>
          <w:sz w:val="24"/>
          <w:szCs w:val="24"/>
          <w:w w:val="100"/>
          <w:spacing w:val="0"/>
          <w:color w:val="000000"/>
          <w:position w:val="0"/>
        </w:rPr>
        <w:t xml:space="preserve">MS SQL Server </w:t>
      </w:r>
      <w:r>
        <w:rPr>
          <w:lang w:val="ru-RU" w:eastAsia="ru-RU" w:bidi="ru-RU"/>
          <w:sz w:val="24"/>
          <w:szCs w:val="24"/>
          <w:w w:val="100"/>
          <w:spacing w:val="0"/>
          <w:color w:val="000000"/>
          <w:position w:val="0"/>
        </w:rPr>
        <w:t>в части других региональных информационных систем, что позволит в дальнейшем интегрировать их с ИСОГД Смоленской области.</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Кроме того, СУБД </w:t>
      </w:r>
      <w:r>
        <w:rPr>
          <w:lang w:val="en-US" w:eastAsia="en-US" w:bidi="en-US"/>
          <w:sz w:val="24"/>
          <w:szCs w:val="24"/>
          <w:w w:val="100"/>
          <w:spacing w:val="0"/>
          <w:color w:val="000000"/>
          <w:position w:val="0"/>
        </w:rPr>
        <w:t xml:space="preserve">MS SQL Server </w:t>
      </w:r>
      <w:r>
        <w:rPr>
          <w:lang w:val="ru-RU" w:eastAsia="ru-RU" w:bidi="ru-RU"/>
          <w:sz w:val="24"/>
          <w:szCs w:val="24"/>
          <w:w w:val="100"/>
          <w:spacing w:val="0"/>
          <w:color w:val="000000"/>
          <w:position w:val="0"/>
        </w:rPr>
        <w:t xml:space="preserve">имеет встроенную функциональную возможность интеграции в нее, имеющихся в органах власти градостроительных материалов (схем территориального планирования и правил землепользования и застройки на различные территории Смоленской области) формата </w:t>
      </w:r>
      <w:r>
        <w:rPr>
          <w:lang w:val="en-US" w:eastAsia="en-US" w:bidi="en-US"/>
          <w:sz w:val="24"/>
          <w:szCs w:val="24"/>
          <w:w w:val="100"/>
          <w:spacing w:val="0"/>
          <w:color w:val="000000"/>
          <w:position w:val="0"/>
        </w:rPr>
        <w:t xml:space="preserve">Maplnfo, </w:t>
      </w:r>
      <w:r>
        <w:rPr>
          <w:lang w:val="ru-RU" w:eastAsia="ru-RU" w:bidi="ru-RU"/>
          <w:sz w:val="24"/>
          <w:szCs w:val="24"/>
          <w:w w:val="100"/>
          <w:spacing w:val="0"/>
          <w:color w:val="000000"/>
          <w:position w:val="0"/>
        </w:rPr>
        <w:t xml:space="preserve">а также возможность прямой работы с данными формата </w:t>
      </w:r>
      <w:r>
        <w:rPr>
          <w:lang w:val="en-US" w:eastAsia="en-US" w:bidi="en-US"/>
          <w:sz w:val="24"/>
          <w:szCs w:val="24"/>
          <w:w w:val="100"/>
          <w:spacing w:val="0"/>
          <w:color w:val="000000"/>
          <w:position w:val="0"/>
        </w:rPr>
        <w:t xml:space="preserve">Maplnfo. </w:t>
      </w:r>
      <w:r>
        <w:rPr>
          <w:lang w:val="ru-RU" w:eastAsia="ru-RU" w:bidi="ru-RU"/>
          <w:sz w:val="24"/>
          <w:szCs w:val="24"/>
          <w:w w:val="100"/>
          <w:spacing w:val="0"/>
          <w:color w:val="000000"/>
          <w:position w:val="0"/>
        </w:rPr>
        <w:t xml:space="preserve">Все градостроительные материалы ИСОГД Смоленского района и города Смоленска также выполнены в формате </w:t>
      </w:r>
      <w:r>
        <w:rPr>
          <w:lang w:val="en-US" w:eastAsia="en-US" w:bidi="en-US"/>
          <w:sz w:val="24"/>
          <w:szCs w:val="24"/>
          <w:w w:val="100"/>
          <w:spacing w:val="0"/>
          <w:color w:val="000000"/>
          <w:position w:val="0"/>
        </w:rPr>
        <w:t>Maplnfo.</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Комиссия приходит к выводу, что заказчиком в документации установлены конкретные наименования программных продуктов без фраз «или эквивалент» в соответствии п. 2 ч. 1 ст. 33 Закона о контрактной системе.</w:t>
      </w:r>
    </w:p>
    <w:p>
      <w:pPr>
        <w:pStyle w:val="Style7"/>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Следовательно довод Заявителя не нашел своего подтверждения.</w:t>
      </w:r>
    </w:p>
    <w:p>
      <w:pPr>
        <w:pStyle w:val="Style7"/>
        <w:numPr>
          <w:ilvl w:val="0"/>
          <w:numId w:val="7"/>
        </w:numPr>
        <w:tabs>
          <w:tab w:leader="none" w:pos="1244"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п.3.11 приведено требование о хранении «Не менее 70% картографической информации должно также храниться в базе данных и позволять многопользовательское редактирование. До 30% картографической информации может хранится на файловом сервере». При этом в Техническом задании (п.5.5) указано, что за исключением справочников «...наполнение БД государственный заказчик осуществляет своими силами в процессе дальнейшей эксплуатации БД». Не ясно - как должно на уровне базы данных или СУБД поддерживаться требование о хранении картографической информации в пропорции 70% на 30%.</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Представители заказчика пояснили, что п. 4 Технического задания представлен состав данных по сущностям, которые должны хранится в базе данных. В данных сущностях перечислены и текстовые и графические (картографические) материалы.</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База данных должна позволять хранить и обрабатывать не менее 70% из графических (картографических) материалов, а остальные 30 % информации должны хранится на файловом сервере. Так же представители заказчика пояснили, что участник закупки самостоятельно должен выбрать материалы из состава данных по сущности, которые должны хранится в базе данных и материалы, которые должны хранится на файловом сервере.</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Комиссией Смоленского УФАС России установлено, что в п. 3.11 Технического задания определено, что не менее 70% картографической информации должно храниться в базе данных и позволять многопользовательское редактирование. До 30% картографической информации может хранится на файловом сервере.</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При этом в данном пункте отсутствует указание, какая именно картографическая информация должна составлять 70%, а какая 30%. И в целом отсутствует перечень данных по сущностям.</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При таких обстоятельствах участнику закупки не предоставляется возможным определить, как на уровне базы данных должно поддерживаться требование о хранении картографической информации в пропорции 70% на 30%.</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Комиссия приходит к выводу, что в данной части описание объекта закупки носит не объективный характер.</w:t>
      </w:r>
    </w:p>
    <w:p>
      <w:pPr>
        <w:pStyle w:val="Style7"/>
        <w:numPr>
          <w:ilvl w:val="0"/>
          <w:numId w:val="7"/>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В п.3.11, 3.19 применяется требование о «комфортном представлении» информации пользователю, при этом не приведены качественные или количественные характеристики такого определения.</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Пунктом 3.11 Технического задания установлено, что база данных должна обеспечивать многопользовательскую комфортную работу в режиме «клиент- сервер» не менее 150 одновременно подключенных пользователей.</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Таким образом, в данном пункте определены количественные характеристики определения о «комфортном представлении» информации.</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пункте 3.19 Технического задания указано, что структура базы данных должна связывать все материалы в единую «древовидную» структуру, позволяющую ответственному пользователю самостоятельно менять структуру «дерева».</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Данное указание является качественной характеристикой определения о «комфортном представлении» информации.</w:t>
      </w:r>
    </w:p>
    <w:p>
      <w:pPr>
        <w:pStyle w:val="Style7"/>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Следовательно, в документации приведены качественные и количественные характеристики данного определения, довод заявителя не нашел своего подтверждения.</w:t>
      </w:r>
    </w:p>
    <w:p>
      <w:pPr>
        <w:pStyle w:val="Style7"/>
        <w:numPr>
          <w:ilvl w:val="0"/>
          <w:numId w:val="7"/>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Заявитель указывает, что в п.3.13 содержится требование «Добавление, изменение и удаление записей в таблицы должно быть реализовано посредством хранимых процедур, однозначно обеспечивающих целостность данных. При попытке пользователем изменить какой-либо набор данных объекта, должен быть изменен (сохранен) либо весь набор данных целиком, либо не изменено ничего». При этом в п.5.5 приведено требование «Любое другое наполнение БД государственный заказчик осуществляет своими силами в процессе дальнейшей эксплуатации БД с применением любых программных средств». Техническое задание не содержит никаких конкретных требований о наличии программируемого интерфейса </w:t>
      </w:r>
      <w:r>
        <w:rPr>
          <w:lang w:val="en-US" w:eastAsia="en-US" w:bidi="en-US"/>
          <w:sz w:val="24"/>
          <w:szCs w:val="24"/>
          <w:w w:val="100"/>
          <w:spacing w:val="0"/>
          <w:color w:val="000000"/>
          <w:position w:val="0"/>
        </w:rPr>
        <w:t xml:space="preserve">(API) </w:t>
      </w:r>
      <w:r>
        <w:rPr>
          <w:lang w:val="ru-RU" w:eastAsia="ru-RU" w:bidi="ru-RU"/>
          <w:sz w:val="24"/>
          <w:szCs w:val="24"/>
          <w:w w:val="100"/>
          <w:spacing w:val="0"/>
          <w:color w:val="000000"/>
          <w:position w:val="0"/>
        </w:rPr>
        <w:t>у проектируемой БД, позволяющего свободно подключаться из любого приложения и заносить информацию в БД с использованием хранимых процедур. Кроме того, в п.7.3 приведено требование о наличии в каждой таблице служебных полей для хранения даты и времени последнего изменения данных, а также пользователя, выполнившего эти изменения. Но тогда, без описания интерфейса подключения к проектируемой БД, это вступает в противоречие с требованиями п.5.5 о возможности занесения информации в БД из «любого программного обеспечения», которое может ничего не знать о служебных полях и правилах их заполнения.</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Представители заказчика пояснили, что разработка или использование какого- либо другого программного интерфейса (программы, средств) в дальнейшей работе с базой данных, наполнению разрабатываемой базы данных не входит в данную услугу, поэтому и не описывается, а управление данными разрабатываемой базы данных с помощью любых программных средств в дальнейшем выполнялось только через встроенный в СУБД </w:t>
      </w:r>
      <w:r>
        <w:rPr>
          <w:lang w:val="en-US" w:eastAsia="en-US" w:bidi="en-US"/>
          <w:sz w:val="24"/>
          <w:szCs w:val="24"/>
          <w:w w:val="100"/>
          <w:spacing w:val="0"/>
          <w:color w:val="000000"/>
          <w:position w:val="0"/>
        </w:rPr>
        <w:t xml:space="preserve">MS SQL Server </w:t>
      </w:r>
      <w:r>
        <w:rPr>
          <w:lang w:val="ru-RU" w:eastAsia="ru-RU" w:bidi="ru-RU"/>
          <w:sz w:val="24"/>
          <w:szCs w:val="24"/>
          <w:w w:val="100"/>
          <w:spacing w:val="0"/>
          <w:color w:val="000000"/>
          <w:position w:val="0"/>
        </w:rPr>
        <w:t>механизм «хранимых процедур», что обеспечивает повышенную надежность при обработке данных.</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п. 3.7 Технического задания указано, что созданная база данных должна быть установлена исполнителем на предоставленный заказчиком сервер под управлением операционной системы </w:t>
      </w:r>
      <w:r>
        <w:rPr>
          <w:lang w:val="en-US" w:eastAsia="en-US" w:bidi="en-US"/>
          <w:sz w:val="24"/>
          <w:szCs w:val="24"/>
          <w:w w:val="100"/>
          <w:spacing w:val="0"/>
          <w:color w:val="000000"/>
          <w:position w:val="0"/>
        </w:rPr>
        <w:t xml:space="preserve">Windows </w:t>
      </w:r>
      <w:r>
        <w:rPr>
          <w:lang w:val="ru-RU" w:eastAsia="ru-RU" w:bidi="ru-RU"/>
          <w:sz w:val="24"/>
          <w:szCs w:val="24"/>
          <w:w w:val="100"/>
          <w:spacing w:val="0"/>
          <w:color w:val="000000"/>
          <w:position w:val="0"/>
        </w:rPr>
        <w:t xml:space="preserve">с установленным программным обеспечением СУБД </w:t>
      </w:r>
      <w:r>
        <w:rPr>
          <w:lang w:val="en-US" w:eastAsia="en-US" w:bidi="en-US"/>
          <w:sz w:val="24"/>
          <w:szCs w:val="24"/>
          <w:w w:val="100"/>
          <w:spacing w:val="0"/>
          <w:color w:val="000000"/>
          <w:position w:val="0"/>
        </w:rPr>
        <w:t xml:space="preserve">MS SQL Server </w:t>
      </w:r>
      <w:r>
        <w:rPr>
          <w:lang w:val="ru-RU" w:eastAsia="ru-RU" w:bidi="ru-RU"/>
          <w:sz w:val="24"/>
          <w:szCs w:val="24"/>
          <w:w w:val="100"/>
          <w:spacing w:val="0"/>
          <w:color w:val="000000"/>
          <w:position w:val="0"/>
        </w:rPr>
        <w:t>версии не ниже 2000.</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Следовательно, довод заявителя о том, что Техническое задание не содержит никаких конкретных требований о наличии программируемого интерфейса у проектированной базы данных, является необоснованным.</w:t>
      </w:r>
    </w:p>
    <w:p>
      <w:pPr>
        <w:pStyle w:val="Style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В п.4.2, приводится состав данных сущности «Адресный план» отдельно для графических данных (слоев) и атрибутивных и семантических данных. При этом не ясно различие в терминологии «атрибутивные» и «семантические» данные, не ясно какие данные относятся к «атрибутивным», какие к «семантическим», и как эти данные соотносятся с перечисленными выше графическими слоями. В этом же пункте приведено требование «БД должна позволять вести поиск любого адресного объекта» без указания, что такое адресный объект в составе сущности Адресный план, что из приведенного состава данных относится к описанию адресного объекта, нужно ли в структуре проектируемой БД предусматривать хранение сущности «Адресный объект» и т.п. Не указаны требования к механизму задания поисковых условий и механизмам отображения результатов поиска (в табличном виде, на карте и т.п.).</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Понятие атрибутивных и семантических данных для разработчиков баз данных являются общепринятыми и общедоступными понятиями.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Атрибутивные данные - это качественные или количественные характеристики пространственных объектов, выражающиеся, как правило, в алфавитно-цифровом виде.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Семантические данные - это только количественные характеристики, выражающиеся, только в цифровом виде.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Следовательно, атрибутивные данные включает в себя понятие семантические данные.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довод Заявителя об отсутствии различий в терминологии «атрибутивных» и «семантических» данных не нашел своего подтверждения.</w:t>
      </w:r>
    </w:p>
    <w:p>
      <w:pPr>
        <w:pStyle w:val="Style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Заявитель указывает, что в п.4.4 Технического задания приведено требование к составу данных сущности «Градостроительные дела и документы». В то же время данный пункт содержит требование о хранении и обработке всей «необходимой информации для автоматизированной подготовки разрешений на строительство и ввод объекта в эксплуатацию» - таким образом из текста данного пункта не ясно, какой состав информации должен быть принят во внимание при проектировании и создании базы данных, относится ли эта информация только к сущности «Градостроительные дела и документы», либо должна поступать из связанных сущностей.</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Представители заказчика на заседании Комиссии пояснили, что действующие формы разрешения на строительство и разрешения на ввод в эксплуатацию являются открытыми и общедоступными.</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Следовательно, требование о том, что база данных должна позволять хранить и обрабатывать всю информацию для подготовки указанных разрешений вполне может быть выполнено.</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Комиссия Смоленского УФАС приходит к выводу, что из Технического здания участнику закупки не представляется возможно определить какую именно информацию должна позволять обрабатывать база данных для подготовки разрешения на строительство и разрешения на ввод в эксплуатацию.</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Статьями 51 и 55 Градостроительного кодекса Российской Федерации определен порядок подготовки и выдачи разрешения на строительство и разрешения на ввод в эксплуатацию.</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Данными статьями предусмотрен перечень документов необходимых для подготовки указанных разрешений.</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Таким образом, п. 4.4 Технического задания носит необъективный характер в части описания информации для подготовки выдачи разрешения на строительство и разрешения на ввод в эксплуатацию.</w:t>
      </w:r>
    </w:p>
    <w:p>
      <w:pPr>
        <w:pStyle w:val="Style7"/>
        <w:numPr>
          <w:ilvl w:val="0"/>
          <w:numId w:val="7"/>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В п.4.6, при перечислении состава данных нарушена логика структуры информации - сущность (документ) «Правила землепользования и застройки» содержит перечень территориальных зон, которые, в свою очередь, содержат градостроительный регламент по каждой зоне (в соответствии с положениями ст.36 Градостроительного кодекса) - в Техническом задании у сущности «Правила землепользования и застройки» на одном уровне представлен атрибут «Описание территориальной зоны» и атрибут «Градостроительные регламенты». При этом ниже пункт содержит требование «БД должна позволять размещать материалы в соответствии с требованиями Градостроительного кодекса РФ».</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Комиссия не согласна с данным доводом заявителя по следующим основаниям.</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Пункт 4.6 не содержит перечень территориальных зон, а содержит состав данных по правилам землепользования и застройки.</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Территориальные зоны это зоны, для которых в правилах землепользования и застройки определены границы и установлены градостроительные регламенты.</w:t>
      </w:r>
    </w:p>
    <w:p>
      <w:pPr>
        <w:pStyle w:val="Style7"/>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Соответственно атрибут «Описание территориальной зоны» и атрибут «Градостроительные регламенты» и должны находится на одном уровне.</w:t>
      </w:r>
    </w:p>
    <w:p>
      <w:pPr>
        <w:pStyle w:val="Style7"/>
        <w:numPr>
          <w:ilvl w:val="0"/>
          <w:numId w:val="7"/>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В п.5.3. приведено требование о соответствии Федеральной информационной адресной системе (далее - ФИАС) справочников населенных пунктов. Однако ФИАС не содержит отдельных справочников населенных пунктов - в ее структуре предусмотрено хранение информации об объектах адресации, в том числе населенных пунктов различных уровней подчинения в привязке к структуре учитываемого адреса. Таким образом, требование пункта 5.3. не ясно.</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Техническое задание не содержит требований по загрузке отдельных справочников населенных пунктов из ФИАС в базу данных, а указывает на то, что наполнение базовых справочников из п. 5.2. Технического задания должно соответствовать ФИАС.</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Следовательно, заказчику не требуются отдельные справочники населенных пунктов по наполняемости базы данных, а требуется тот перечень, который уже содержит ФИАС, довод Заявителя необоснованный.</w:t>
      </w:r>
    </w:p>
    <w:p>
      <w:pPr>
        <w:pStyle w:val="Style7"/>
        <w:numPr>
          <w:ilvl w:val="0"/>
          <w:numId w:val="7"/>
        </w:numPr>
        <w:tabs>
          <w:tab w:leader="none" w:pos="2238" w:val="center"/>
          <w:tab w:leader="none" w:pos="3649" w:val="right"/>
          <w:tab w:leader="none" w:pos="4734" w:val="left"/>
          <w:tab w:leader="none" w:pos="8103" w:val="center"/>
          <w:tab w:leader="none" w:pos="10225" w:val="right"/>
          <w:tab w:leader="none" w:pos="1350" w:val="lef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Требования п.6.1-6.5 подразумевают знание участником закупки структуры базы данных ИСОГД Смоленского района. В противном случае невозможно оценить трудозатраты на выполнение этих требований при проектировании и создании общей базы данных Смоленской области, что может привести</w:t>
        <w:tab/>
        <w:t>к</w:t>
        <w:tab/>
        <w:t>не</w:t>
        <w:tab/>
        <w:t>выполнению</w:t>
        <w:tab/>
        <w:t>обязательств</w:t>
        <w:tab/>
        <w:t>по</w:t>
      </w:r>
    </w:p>
    <w:p>
      <w:pPr>
        <w:pStyle w:val="Style7"/>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контракту. В техническом задании и в Конкурсной документации отсутствуют сведения о структуре БД ИСОГД Смоленского района, а также сведения о наличии у Заказчика юридически значимой возможности предоставлении такой информации. Кроме того, срок исполнения контракта, указанный в п.9 Извещения (10 календарных дней с даты подписания контракта) и отсутствие информации о структуре БД ИСОГД Смоленского района, с которой требуется автоматическая интеграция можно расценивать как ограничение конкуренции и предоставление привилегий одному из участников закупки, что является грубым нарушением действующего законодательства в сфере закупок.</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Представители заказчика пояснили, что максимальный объем трудозатрат определен в Техническом задании, описаниях сущностей базы данных.</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Структура базы данных Смоленского района будет представлена победителю электронного аукциона после заключения контракта.</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Комиссия считает, что срок оказания услуг в течение 10 календарных дней с даты подписания контракта, указанный в п.9 Извещения о проведении запроса котировок и отсутствие информации о структуре БД ИСОГД Смоленского района может привести к ограничению количества участников закупки.</w:t>
      </w:r>
    </w:p>
    <w:p>
      <w:pPr>
        <w:pStyle w:val="Style7"/>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Из Технического задания невозможно определить состав и объем интегрируемой информации из БД ИСОГД Смоленского района до заключения контракта.</w:t>
      </w:r>
    </w:p>
    <w:p>
      <w:pPr>
        <w:pStyle w:val="Style7"/>
        <w:widowControl w:val="0"/>
        <w:keepNext w:val="0"/>
        <w:keepLines w:val="0"/>
        <w:shd w:val="clear" w:color="auto" w:fill="auto"/>
        <w:bidi w:val="0"/>
        <w:jc w:val="both"/>
        <w:spacing w:before="0" w:after="365"/>
        <w:ind w:left="20" w:right="40" w:firstLine="720"/>
      </w:pPr>
      <w:r>
        <w:rPr>
          <w:lang w:val="ru-RU" w:eastAsia="ru-RU" w:bidi="ru-RU"/>
          <w:sz w:val="24"/>
          <w:szCs w:val="24"/>
          <w:w w:val="100"/>
          <w:spacing w:val="0"/>
          <w:color w:val="000000"/>
          <w:position w:val="0"/>
        </w:rPr>
        <w:t>Таким образом, 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7"/>
        <w:widowControl w:val="0"/>
        <w:keepNext w:val="0"/>
        <w:keepLines w:val="0"/>
        <w:shd w:val="clear" w:color="auto" w:fill="auto"/>
        <w:bidi w:val="0"/>
        <w:jc w:val="left"/>
        <w:spacing w:before="0" w:after="307" w:line="240" w:lineRule="exact"/>
        <w:ind w:left="4880" w:right="0" w:firstLine="0"/>
      </w:pPr>
      <w:r>
        <w:rPr>
          <w:lang w:val="ru-RU" w:eastAsia="ru-RU" w:bidi="ru-RU"/>
          <w:sz w:val="24"/>
          <w:szCs w:val="24"/>
          <w:w w:val="100"/>
          <w:spacing w:val="0"/>
          <w:color w:val="000000"/>
          <w:position w:val="0"/>
        </w:rPr>
        <w:t>РЕШИЛА:</w:t>
      </w:r>
    </w:p>
    <w:p>
      <w:pPr>
        <w:pStyle w:val="Style7"/>
        <w:numPr>
          <w:ilvl w:val="0"/>
          <w:numId w:val="9"/>
        </w:numPr>
        <w:tabs>
          <w:tab w:leader="none" w:pos="1071" w:val="lef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Признать жалобу ООО «НЕОЛАНТ Запад» на положения котировочной документации на право заключить государственный контракт на оказание услуг по проектированию и разработке базы данных для ведения информационной системы</w:t>
        <w:br w:type="page"/>
        <w:t>обеспечения градостроительной деятельности (ИСОГД) Смоленской области (извещение № 0163200000317005381) обоснованной.</w:t>
      </w:r>
    </w:p>
    <w:p>
      <w:pPr>
        <w:pStyle w:val="Style7"/>
        <w:numPr>
          <w:ilvl w:val="0"/>
          <w:numId w:val="9"/>
        </w:numPr>
        <w:widowControl w:val="0"/>
        <w:keepNext w:val="0"/>
        <w:keepLines w:val="0"/>
        <w:shd w:val="clear" w:color="auto" w:fill="auto"/>
        <w:bidi w:val="0"/>
        <w:jc w:val="both"/>
        <w:spacing w:before="0" w:after="0" w:line="341" w:lineRule="exact"/>
        <w:ind w:left="20" w:right="20" w:firstLine="700"/>
      </w:pPr>
      <w:r>
        <w:rPr>
          <w:lang w:val="ru-RU" w:eastAsia="ru-RU" w:bidi="ru-RU"/>
          <w:sz w:val="24"/>
          <w:szCs w:val="24"/>
          <w:w w:val="100"/>
          <w:spacing w:val="0"/>
          <w:color w:val="000000"/>
          <w:position w:val="0"/>
        </w:rPr>
        <w:t xml:space="preserve"> Признать в действиях государственного заказчика нарушения п. 1 ч.1 ст. 33 Закона о контрактной системе.</w:t>
      </w:r>
    </w:p>
    <w:p>
      <w:pPr>
        <w:pStyle w:val="Style7"/>
        <w:numPr>
          <w:ilvl w:val="0"/>
          <w:numId w:val="9"/>
        </w:numPr>
        <w:widowControl w:val="0"/>
        <w:keepNext w:val="0"/>
        <w:keepLines w:val="0"/>
        <w:shd w:val="clear" w:color="auto" w:fill="auto"/>
        <w:bidi w:val="0"/>
        <w:jc w:val="both"/>
        <w:spacing w:before="0" w:after="300"/>
        <w:ind w:left="20" w:right="20" w:firstLine="700"/>
      </w:pPr>
      <w:r>
        <w:rPr>
          <w:lang w:val="ru-RU" w:eastAsia="ru-RU" w:bidi="ru-RU"/>
          <w:sz w:val="24"/>
          <w:szCs w:val="24"/>
          <w:w w:val="100"/>
          <w:spacing w:val="0"/>
          <w:color w:val="000000"/>
          <w:position w:val="0"/>
        </w:rPr>
        <w:t xml:space="preserve"> Выдать государственному заказчику - Департаменту Смоленской области по строительству и жилищно-коммунальному хозяйству, уполномоченному органу - Главному управлению Смоленской области по регулированию контрактной системы Предписание об устранении нарушений законодательства о контрактной системе.</w:t>
      </w:r>
    </w:p>
    <w:p>
      <w:pPr>
        <w:pStyle w:val="Style21"/>
        <w:widowControl w:val="0"/>
        <w:keepNext w:val="0"/>
        <w:keepLines w:val="0"/>
        <w:shd w:val="clear" w:color="auto" w:fill="auto"/>
        <w:bidi w:val="0"/>
        <w:spacing w:before="0" w:after="0"/>
        <w:ind w:left="20" w:right="20"/>
        <w:sectPr>
          <w:pgSz w:w="16838" w:h="23810"/>
          <w:pgMar w:top="4887" w:left="3198" w:right="3198" w:bottom="4349" w:header="0" w:footer="3" w:gutter="174"/>
          <w:rtlGutter/>
          <w:cols w:space="720"/>
          <w:noEndnote/>
          <w:docGrid w:linePitch="360"/>
        </w:sectPr>
      </w:pPr>
      <w:r>
        <w:rPr>
          <w:lang w:val="ru-RU" w:eastAsia="ru-RU" w:bidi="ru-RU"/>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722" w:line="240" w:lineRule="exact"/>
        <w:ind w:left="20" w:right="0" w:firstLine="0"/>
      </w:pPr>
      <w:r>
        <w:rPr>
          <w:lang w:val="ru-RU" w:eastAsia="ru-RU" w:bidi="ru-RU"/>
          <w:sz w:val="24"/>
          <w:szCs w:val="24"/>
          <w:w w:val="100"/>
          <w:spacing w:val="0"/>
          <w:color w:val="000000"/>
          <w:position w:val="0"/>
        </w:rPr>
        <w:t>Председатель Комиссии</w:t>
      </w:r>
    </w:p>
    <w:p>
      <w:pPr>
        <w:pStyle w:val="Style7"/>
        <w:framePr w:w="4542" w:h="283" w:wrap="notBeside" w:vAnchor="text" w:hAnchor="margin" w:x="3844" w:y="913"/>
        <w:widowControl w:val="0"/>
        <w:keepNext w:val="0"/>
        <w:keepLines w:val="0"/>
        <w:shd w:val="clear" w:color="auto" w:fill="auto"/>
        <w:bidi w:val="0"/>
        <w:jc w:val="left"/>
        <w:spacing w:before="0" w:after="0" w:line="240" w:lineRule="exact"/>
        <w:ind w:left="100" w:right="0" w:firstLine="0"/>
      </w:pPr>
      <w:r>
        <w:rPr>
          <w:rStyle w:val="CharStyle23"/>
          <w:spacing w:val="-10"/>
        </w:rPr>
        <w:t>уг—тЗо/е У</w:t>
      </w:r>
      <w:r>
        <w:rPr>
          <w:rStyle w:val="CharStyle15"/>
          <w:spacing w:val="0"/>
        </w:rPr>
        <w:t xml:space="preserve"> _ А.Е. Лукашев</w:t>
      </w:r>
    </w:p>
    <w:p>
      <w:pPr>
        <w:pStyle w:val="Style7"/>
        <w:widowControl w:val="0"/>
        <w:keepNext w:val="0"/>
        <w:keepLines w:val="0"/>
        <w:shd w:val="clear" w:color="auto" w:fill="auto"/>
        <w:bidi w:val="0"/>
        <w:jc w:val="left"/>
        <w:spacing w:before="0" w:after="0" w:line="240" w:lineRule="exact"/>
        <w:ind w:left="20" w:right="0" w:firstLine="0"/>
        <w:sectPr>
          <w:type w:val="continuous"/>
          <w:pgSz w:w="16838" w:h="23810"/>
          <w:pgMar w:top="8104" w:left="3461" w:right="10095" w:bottom="7581"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А.О. Казакова</w:t>
      </w:r>
    </w:p>
    <w:sectPr>
      <w:type w:val="continuous"/>
      <w:pgSz w:w="16838" w:h="23810"/>
      <w:pgMar w:top="8104" w:left="10200" w:right="4646" w:bottom="75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8"/>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3.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8"/>
    </w:rPr>
  </w:style>
  <w:style w:type="character" w:customStyle="1" w:styleId="CharStyle11">
    <w:name w:val="Основной текст (4)_"/>
    <w:basedOn w:val="DefaultParagraphFont"/>
    <w:link w:val="Style10"/>
    <w:rPr>
      <w:b w:val="0"/>
      <w:bCs w:val="0"/>
      <w:i w:val="0"/>
      <w:iCs w:val="0"/>
      <w:u w:val="none"/>
      <w:strike w:val="0"/>
      <w:smallCaps w:val="0"/>
      <w:sz w:val="14"/>
      <w:szCs w:val="14"/>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18"/>
      <w:szCs w:val="18"/>
      <w:rFonts w:ascii="Palatino Linotype" w:eastAsia="Palatino Linotype" w:hAnsi="Palatino Linotype" w:cs="Palatino Linotype"/>
    </w:rPr>
  </w:style>
  <w:style w:type="character" w:customStyle="1" w:styleId="CharStyle14">
    <w:name w:val="Основной текст + 8,5 pt,Полужирный"/>
    <w:basedOn w:val="CharStyle8"/>
    <w:rPr>
      <w:lang w:val="ru-RU" w:eastAsia="ru-RU" w:bidi="ru-RU"/>
      <w:b/>
      <w:bCs/>
      <w:sz w:val="17"/>
      <w:szCs w:val="17"/>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16">
    <w:name w:val="Основной текст + Полужирный,Интервал 0 pt Exact"/>
    <w:basedOn w:val="CharStyle8"/>
    <w:rPr>
      <w:lang w:val="ru-RU" w:eastAsia="ru-RU" w:bidi="ru-RU"/>
      <w:b/>
      <w:bCs/>
      <w:sz w:val="24"/>
      <w:szCs w:val="24"/>
      <w:w w:val="100"/>
      <w:spacing w:val="9"/>
      <w:color w:val="000000"/>
      <w:position w:val="0"/>
    </w:rPr>
  </w:style>
  <w:style w:type="character" w:customStyle="1" w:styleId="CharStyle18">
    <w:name w:val="Основной текст (6) Exact"/>
    <w:basedOn w:val="DefaultParagraphFont"/>
    <w:link w:val="Style17"/>
    <w:rPr>
      <w:b w:val="0"/>
      <w:bCs w:val="0"/>
      <w:i w:val="0"/>
      <w:iCs w:val="0"/>
      <w:u w:val="none"/>
      <w:strike w:val="0"/>
      <w:smallCaps w:val="0"/>
      <w:sz w:val="11"/>
      <w:szCs w:val="11"/>
      <w:rFonts w:ascii="Times New Roman" w:eastAsia="Times New Roman" w:hAnsi="Times New Roman" w:cs="Times New Roman"/>
      <w:w w:val="250"/>
    </w:rPr>
  </w:style>
  <w:style w:type="character" w:customStyle="1" w:styleId="CharStyle20">
    <w:name w:val="Основной текст (7) Exact"/>
    <w:basedOn w:val="DefaultParagraphFont"/>
    <w:link w:val="Style19"/>
    <w:rPr>
      <w:b w:val="0"/>
      <w:bCs w:val="0"/>
      <w:i w:val="0"/>
      <w:iCs w:val="0"/>
      <w:u w:val="none"/>
      <w:strike w:val="0"/>
      <w:smallCaps w:val="0"/>
      <w:sz w:val="30"/>
      <w:szCs w:val="30"/>
      <w:rFonts w:ascii="Palatino Linotype" w:eastAsia="Palatino Linotype" w:hAnsi="Palatino Linotype" w:cs="Palatino Linotype"/>
      <w:spacing w:val="41"/>
    </w:rPr>
  </w:style>
  <w:style w:type="character" w:customStyle="1" w:styleId="CharStyle22">
    <w:name w:val="Основной текст (8)_"/>
    <w:basedOn w:val="DefaultParagraphFont"/>
    <w:link w:val="Style21"/>
    <w:rPr>
      <w:b w:val="0"/>
      <w:bCs w:val="0"/>
      <w:i/>
      <w:iCs/>
      <w:u w:val="none"/>
      <w:strike w:val="0"/>
      <w:smallCaps w:val="0"/>
      <w:sz w:val="26"/>
      <w:szCs w:val="26"/>
      <w:rFonts w:ascii="Times New Roman" w:eastAsia="Times New Roman" w:hAnsi="Times New Roman" w:cs="Times New Roman"/>
    </w:rPr>
  </w:style>
  <w:style w:type="character" w:customStyle="1" w:styleId="CharStyle23">
    <w:name w:val="Основной текст + Полужирный,Курсив,Интервал 0 pt Exact"/>
    <w:basedOn w:val="CharStyle8"/>
    <w:rPr>
      <w:lang w:val="ru-RU" w:eastAsia="ru-RU" w:bidi="ru-RU"/>
      <w:b/>
      <w:bCs/>
      <w:i/>
      <w:iCs/>
      <w:sz w:val="24"/>
      <w:szCs w:val="24"/>
      <w:w w:val="100"/>
      <w:spacing w:val="-9"/>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322"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322"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180" w:after="300" w:line="0" w:lineRule="exact"/>
    </w:pPr>
    <w:rPr>
      <w:b w:val="0"/>
      <w:bCs w:val="0"/>
      <w:i w:val="0"/>
      <w:iCs w:val="0"/>
      <w:u w:val="none"/>
      <w:strike w:val="0"/>
      <w:smallCaps w:val="0"/>
      <w:sz w:val="18"/>
      <w:szCs w:val="18"/>
      <w:rFonts w:ascii="Palatino Linotype" w:eastAsia="Palatino Linotype" w:hAnsi="Palatino Linotype" w:cs="Palatino Linotype"/>
    </w:rPr>
  </w:style>
  <w:style w:type="paragraph" w:customStyle="1" w:styleId="Style17">
    <w:name w:val="Основной текст (6)"/>
    <w:basedOn w:val="Normal"/>
    <w:link w:val="CharStyle18"/>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250"/>
    </w:rPr>
  </w:style>
  <w:style w:type="paragraph" w:customStyle="1" w:styleId="Style19">
    <w:name w:val="Основной текст (7)"/>
    <w:basedOn w:val="Normal"/>
    <w:link w:val="CharStyle20"/>
    <w:pPr>
      <w:widowControl w:val="0"/>
      <w:shd w:val="clear" w:color="auto" w:fill="FFFFFF"/>
      <w:spacing w:line="0" w:lineRule="exact"/>
    </w:pPr>
    <w:rPr>
      <w:b w:val="0"/>
      <w:bCs w:val="0"/>
      <w:i w:val="0"/>
      <w:iCs w:val="0"/>
      <w:u w:val="none"/>
      <w:strike w:val="0"/>
      <w:smallCaps w:val="0"/>
      <w:sz w:val="30"/>
      <w:szCs w:val="30"/>
      <w:rFonts w:ascii="Palatino Linotype" w:eastAsia="Palatino Linotype" w:hAnsi="Palatino Linotype" w:cs="Palatino Linotype"/>
      <w:spacing w:val="41"/>
    </w:rPr>
  </w:style>
  <w:style w:type="paragraph" w:customStyle="1" w:styleId="Style21">
    <w:name w:val="Основной текст (8)"/>
    <w:basedOn w:val="Normal"/>
    <w:link w:val="CharStyle22"/>
    <w:pPr>
      <w:widowControl w:val="0"/>
      <w:shd w:val="clear" w:color="auto" w:fill="FFFFFF"/>
      <w:jc w:val="both"/>
      <w:spacing w:before="300"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