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470" w:h="2912" w:wrap="around" w:vAnchor="text" w:hAnchor="margin" w:x="-1516" w:y="-59"/>
        <w:widowControl w:val="0"/>
        <w:keepNext w:val="0"/>
        <w:keepLines w:val="0"/>
        <w:shd w:val="clear" w:color="auto" w:fill="auto"/>
        <w:bidi w:val="0"/>
        <w:spacing w:before="0" w:after="219"/>
        <w:ind w:left="0" w:right="0" w:firstLine="0"/>
      </w:pPr>
      <w:r>
        <w:rPr>
          <w:lang w:val="ru-RU" w:eastAsia="ru-RU" w:bidi="ru-RU"/>
          <w:w w:val="100"/>
          <w:spacing w:val="0"/>
          <w:color w:val="000000"/>
          <w:position w:val="0"/>
        </w:rPr>
        <w:t>ФЕДЕРАЛЬНАЯ АНТИМОНОПОЛЬНАЯ СЛУЖБА</w:t>
      </w:r>
    </w:p>
    <w:p>
      <w:pPr>
        <w:pStyle w:val="Style3"/>
        <w:framePr w:w="4470" w:h="2912" w:wrap="around" w:vAnchor="text" w:hAnchor="margin" w:x="-1516" w:y="-59"/>
        <w:widowControl w:val="0"/>
        <w:keepNext w:val="0"/>
        <w:keepLines w:val="0"/>
        <w:shd w:val="clear" w:color="auto" w:fill="auto"/>
        <w:bidi w:val="0"/>
        <w:spacing w:before="0" w:after="219" w:line="274" w:lineRule="exact"/>
        <w:ind w:left="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5"/>
        <w:framePr w:w="4470" w:h="2912" w:wrap="around" w:vAnchor="text" w:hAnchor="margin" w:x="-1516" w:y="-59"/>
        <w:widowControl w:val="0"/>
        <w:keepNext w:val="0"/>
        <w:keepLines w:val="0"/>
        <w:shd w:val="clear" w:color="auto" w:fill="auto"/>
        <w:bidi w:val="0"/>
        <w:spacing w:before="0" w:after="0"/>
        <w:ind w:left="0" w:right="0" w:firstLine="0"/>
      </w:pPr>
      <w:r>
        <w:rPr>
          <w:rStyle w:val="CharStyle6"/>
          <w:spacing w:val="0"/>
        </w:rPr>
        <w:t xml:space="preserve">ул. Лермонтова , 14, а/я 803, г. Чита, Забайкальский край, 672000 тел. (3022) 35-18-41, факс (3022) 32-12-31 </w:t>
      </w:r>
      <w:r>
        <w:rPr>
          <w:rStyle w:val="CharStyle6"/>
          <w:lang w:val="en-US" w:eastAsia="en-US" w:bidi="en-US"/>
          <w:spacing w:val="0"/>
        </w:rPr>
        <w:t xml:space="preserve">e-mail: </w:t>
      </w:r>
      <w:r>
        <w:fldChar w:fldCharType="begin"/>
      </w:r>
      <w:r>
        <w:rPr>
          <w:rStyle w:val="CharStyle6"/>
        </w:rPr>
        <w:instrText> HYPERLINK "mailto:to75@fas.gov.ru" </w:instrText>
      </w:r>
      <w:r>
        <w:fldChar w:fldCharType="separate"/>
      </w:r>
      <w:r>
        <w:rPr>
          <w:rStyle w:val="Hyperlink"/>
          <w:lang w:val="en-US" w:eastAsia="en-US" w:bidi="en-US"/>
          <w:spacing w:val="0"/>
        </w:rPr>
        <w:t>to75@fas.gov.ru</w:t>
      </w:r>
      <w:r>
        <w:fldChar w:fldCharType="end"/>
      </w:r>
    </w:p>
    <w:p>
      <w:pPr>
        <w:pStyle w:val="Style9"/>
        <w:widowControl w:val="0"/>
        <w:keepNext w:val="0"/>
        <w:keepLines w:val="0"/>
        <w:shd w:val="clear" w:color="auto" w:fill="auto"/>
        <w:bidi w:val="0"/>
        <w:spacing w:before="259" w:after="0"/>
        <w:ind w:left="0" w:right="40" w:firstLine="0"/>
      </w:pPr>
      <w:r>
        <w:rPr>
          <w:rStyle w:val="CharStyle11"/>
          <w:b w:val="0"/>
          <w:bCs w:val="0"/>
        </w:rPr>
        <w:t xml:space="preserve">Заявитель: </w:t>
      </w:r>
      <w:r>
        <w:rPr>
          <w:lang w:val="ru-RU" w:eastAsia="ru-RU" w:bidi="ru-RU"/>
          <w:w w:val="100"/>
          <w:spacing w:val="0"/>
          <w:color w:val="000000"/>
          <w:position w:val="0"/>
        </w:rPr>
        <w:t>Общество с ограниченной ответственностью «Атла Медикал Г рупп»</w:t>
      </w:r>
    </w:p>
    <w:p>
      <w:pPr>
        <w:pStyle w:val="Style5"/>
        <w:widowControl w:val="0"/>
        <w:keepNext w:val="0"/>
        <w:keepLines w:val="0"/>
        <w:shd w:val="clear" w:color="auto" w:fill="auto"/>
        <w:bidi w:val="0"/>
        <w:spacing w:before="0" w:after="0"/>
        <w:ind w:left="0" w:right="40" w:firstLine="0"/>
      </w:pPr>
      <w:r>
        <w:rPr>
          <w:lang w:val="ru-RU" w:eastAsia="ru-RU" w:bidi="ru-RU"/>
          <w:w w:val="100"/>
          <w:spacing w:val="0"/>
          <w:color w:val="000000"/>
          <w:position w:val="0"/>
        </w:rPr>
        <w:t xml:space="preserve">(сокращенное наименование - </w:t>
      </w:r>
      <w:r>
        <w:rPr>
          <w:rStyle w:val="CharStyle13"/>
        </w:rPr>
        <w:t xml:space="preserve">ООО </w:t>
      </w:r>
      <w:r>
        <w:rPr>
          <w:lang w:val="ru-RU" w:eastAsia="ru-RU" w:bidi="ru-RU"/>
          <w:w w:val="100"/>
          <w:spacing w:val="0"/>
          <w:color w:val="000000"/>
          <w:position w:val="0"/>
        </w:rPr>
        <w:t>«АМГ»)</w:t>
      </w:r>
    </w:p>
    <w:p>
      <w:pPr>
        <w:pStyle w:val="Style5"/>
        <w:widowControl w:val="0"/>
        <w:keepNext w:val="0"/>
        <w:keepLines w:val="0"/>
        <w:shd w:val="clear" w:color="auto" w:fill="auto"/>
        <w:bidi w:val="0"/>
        <w:spacing w:before="0" w:after="277"/>
        <w:ind w:left="0" w:right="40" w:firstLine="0"/>
      </w:pPr>
      <w:r>
        <w:rPr>
          <w:lang w:val="ru-RU" w:eastAsia="ru-RU" w:bidi="ru-RU"/>
          <w:w w:val="100"/>
          <w:spacing w:val="0"/>
          <w:color w:val="000000"/>
          <w:position w:val="0"/>
        </w:rPr>
        <w:t xml:space="preserve">Адрес: 194064, г. Санкт-Петербург, пр. Раевского, дом. 14, корп.2, пом.8-Н, ком. ЗА,ЗБ,4А тел./факс: 8 (812) 336-51-03 </w:t>
      </w:r>
      <w:r>
        <w:fldChar w:fldCharType="begin"/>
      </w:r>
      <w:r>
        <w:rPr>
          <w:color w:val="000000"/>
        </w:rPr>
        <w:instrText> HYPERLINK "mailto:amg.spb@bk.ru" </w:instrText>
      </w:r>
      <w:r>
        <w:fldChar w:fldCharType="separate"/>
      </w:r>
      <w:r>
        <w:rPr>
          <w:rStyle w:val="Hyperlink"/>
          <w:lang w:val="en-US" w:eastAsia="en-US" w:bidi="en-US"/>
          <w:w w:val="100"/>
          <w:spacing w:val="0"/>
          <w:position w:val="0"/>
        </w:rPr>
        <w:t>amg.spb@bk.ru</w:t>
      </w:r>
      <w:r>
        <w:fldChar w:fldCharType="end"/>
      </w:r>
    </w:p>
    <w:p>
      <w:pPr>
        <w:pStyle w:val="Style9"/>
        <w:widowControl w:val="0"/>
        <w:keepNext w:val="0"/>
        <w:keepLines w:val="0"/>
        <w:shd w:val="clear" w:color="auto" w:fill="auto"/>
        <w:bidi w:val="0"/>
        <w:spacing w:before="0" w:after="0" w:line="180" w:lineRule="exact"/>
        <w:ind w:left="0" w:right="40" w:firstLine="0"/>
      </w:pPr>
      <w:r>
        <w:rPr>
          <w:lang w:val="ru-RU" w:eastAsia="ru-RU" w:bidi="ru-RU"/>
          <w:w w:val="100"/>
          <w:spacing w:val="0"/>
          <w:color w:val="000000"/>
          <w:position w:val="0"/>
        </w:rPr>
        <w:t>Заказчик:</w:t>
      </w:r>
    </w:p>
    <w:p>
      <w:pPr>
        <w:pStyle w:val="Style9"/>
        <w:widowControl w:val="0"/>
        <w:keepNext w:val="0"/>
        <w:keepLines w:val="0"/>
        <w:shd w:val="clear" w:color="auto" w:fill="auto"/>
        <w:bidi w:val="0"/>
        <w:jc w:val="left"/>
        <w:spacing w:before="0" w:after="0" w:line="235" w:lineRule="exact"/>
        <w:ind w:left="1200" w:right="600"/>
      </w:pPr>
      <w:r>
        <w:rPr>
          <w:lang w:val="ru-RU" w:eastAsia="ru-RU" w:bidi="ru-RU"/>
          <w:w w:val="100"/>
          <w:spacing w:val="0"/>
          <w:color w:val="000000"/>
          <w:position w:val="0"/>
        </w:rPr>
        <w:t>Государственное учреждение здравоохранения «Кыринская ЦРБ»</w:t>
      </w:r>
    </w:p>
    <w:p>
      <w:pPr>
        <w:pStyle w:val="Style5"/>
        <w:framePr w:w="1821" w:h="451" w:wrap="around" w:vAnchor="text" w:hAnchor="margin" w:x="-412" w:y="334"/>
        <w:widowControl w:val="0"/>
        <w:keepNext w:val="0"/>
        <w:keepLines w:val="0"/>
        <w:shd w:val="clear" w:color="auto" w:fill="auto"/>
        <w:bidi w:val="0"/>
        <w:jc w:val="left"/>
        <w:spacing w:before="0" w:after="0"/>
        <w:ind w:left="1080" w:right="100" w:hanging="1080"/>
      </w:pPr>
      <w:r>
        <w:rPr>
          <w:rStyle w:val="CharStyle6"/>
          <w:spacing w:val="0"/>
        </w:rPr>
        <w:t>15.11..2017 №04-03 от</w:t>
      </w:r>
    </w:p>
    <w:p>
      <w:pPr>
        <w:pStyle w:val="Style5"/>
        <w:framePr w:h="170" w:wrap="around" w:vAnchor="text" w:hAnchor="margin" w:x="-1113" w:y="604"/>
        <w:widowControl w:val="0"/>
        <w:keepNext w:val="0"/>
        <w:keepLines w:val="0"/>
        <w:shd w:val="clear" w:color="auto" w:fill="auto"/>
        <w:bidi w:val="0"/>
        <w:jc w:val="left"/>
        <w:spacing w:before="0" w:after="0" w:line="170" w:lineRule="exact"/>
        <w:ind w:left="0" w:right="0" w:firstLine="0"/>
      </w:pPr>
      <w:r>
        <w:rPr>
          <w:rStyle w:val="CharStyle6"/>
          <w:spacing w:val="0"/>
        </w:rPr>
        <w:t>На №</w:t>
      </w:r>
    </w:p>
    <w:p>
      <w:pPr>
        <w:pStyle w:val="Style5"/>
        <w:widowControl w:val="0"/>
        <w:keepNext w:val="0"/>
        <w:keepLines w:val="0"/>
        <w:shd w:val="clear" w:color="auto" w:fill="auto"/>
        <w:bidi w:val="0"/>
        <w:jc w:val="left"/>
        <w:spacing w:before="0" w:after="244" w:line="230" w:lineRule="exact"/>
        <w:ind w:left="40" w:right="60" w:firstLine="0"/>
      </w:pPr>
      <w:r>
        <w:rPr>
          <w:lang w:val="ru-RU" w:eastAsia="ru-RU" w:bidi="ru-RU"/>
          <w:w w:val="100"/>
          <w:spacing w:val="0"/>
          <w:color w:val="000000"/>
          <w:position w:val="0"/>
        </w:rPr>
        <w:t xml:space="preserve">Почтовый адрес: Российская Федерация, 674250, Забайкальский край, Кыринский р-н, с.Кыра, Советская, 2 Телефон: 7-30235-21226 </w:t>
      </w:r>
      <w:r>
        <w:fldChar w:fldCharType="begin"/>
      </w:r>
      <w:r>
        <w:rPr>
          <w:color w:val="000000"/>
        </w:rPr>
        <w:instrText> HYPERLINK "mailto:kira_med_dsl@mail.ru" </w:instrText>
      </w:r>
      <w:r>
        <w:fldChar w:fldCharType="separate"/>
      </w:r>
      <w:r>
        <w:rPr>
          <w:rStyle w:val="Hyperlink"/>
          <w:lang w:val="en-US" w:eastAsia="en-US" w:bidi="en-US"/>
          <w:w w:val="100"/>
          <w:spacing w:val="0"/>
          <w:position w:val="0"/>
        </w:rPr>
        <w:t>kira_med_dsl@mail.ru</w:t>
      </w:r>
      <w:r>
        <w:fldChar w:fldCharType="end"/>
      </w:r>
    </w:p>
    <w:p>
      <w:pPr>
        <w:pStyle w:val="Style9"/>
        <w:widowControl w:val="0"/>
        <w:keepNext w:val="0"/>
        <w:keepLines w:val="0"/>
        <w:shd w:val="clear" w:color="auto" w:fill="auto"/>
        <w:bidi w:val="0"/>
        <w:spacing w:before="0" w:after="0"/>
        <w:ind w:left="0" w:right="60" w:firstLine="0"/>
      </w:pPr>
      <w:r>
        <w:rPr>
          <w:lang w:val="ru-RU" w:eastAsia="ru-RU" w:bidi="ru-RU"/>
          <w:w w:val="100"/>
          <w:spacing w:val="0"/>
          <w:color w:val="000000"/>
          <w:position w:val="0"/>
        </w:rPr>
        <w:t>Уполномоченное учреждение, осуществляющее размещение: Государственное казённое учреждение «Забайкальский центр государственных закупок»</w:t>
      </w:r>
    </w:p>
    <w:p>
      <w:pPr>
        <w:pStyle w:val="Style5"/>
        <w:widowControl w:val="0"/>
        <w:keepNext w:val="0"/>
        <w:keepLines w:val="0"/>
        <w:shd w:val="clear" w:color="auto" w:fill="auto"/>
        <w:bidi w:val="0"/>
        <w:jc w:val="left"/>
        <w:spacing w:before="0" w:after="0" w:line="230" w:lineRule="exact"/>
        <w:ind w:left="5720" w:right="280"/>
      </w:pPr>
      <w:r>
        <w:rPr>
          <w:lang w:val="ru-RU" w:eastAsia="ru-RU" w:bidi="ru-RU"/>
          <w:w w:val="100"/>
          <w:spacing w:val="0"/>
          <w:color w:val="000000"/>
          <w:position w:val="0"/>
        </w:rPr>
        <w:t xml:space="preserve">Место нахождения: 672010, г. Чита, ул. Амурская, </w:t>
      </w:r>
      <w:r>
        <w:rPr>
          <w:rStyle w:val="CharStyle14"/>
        </w:rPr>
        <w:t xml:space="preserve">1/ </w:t>
      </w:r>
      <w:r>
        <w:rPr>
          <w:lang w:val="ru-RU" w:eastAsia="ru-RU" w:bidi="ru-RU"/>
          <w:w w:val="100"/>
          <w:spacing w:val="0"/>
          <w:color w:val="000000"/>
          <w:position w:val="0"/>
        </w:rPr>
        <w:t>дом 13</w:t>
      </w:r>
    </w:p>
    <w:p>
      <w:pPr>
        <w:pStyle w:val="Style5"/>
        <w:widowControl w:val="0"/>
        <w:keepNext w:val="0"/>
        <w:keepLines w:val="0"/>
        <w:shd w:val="clear" w:color="auto" w:fill="auto"/>
        <w:bidi w:val="0"/>
        <w:spacing w:before="0" w:after="239" w:line="230" w:lineRule="exact"/>
        <w:ind w:left="0" w:right="60" w:firstLine="0"/>
      </w:pPr>
      <w:r>
        <w:rPr>
          <w:lang w:val="ru-RU" w:eastAsia="ru-RU" w:bidi="ru-RU"/>
          <w:w w:val="100"/>
          <w:spacing w:val="0"/>
          <w:color w:val="000000"/>
          <w:position w:val="0"/>
        </w:rPr>
        <w:t xml:space="preserve">Номер контактного телефона/факс: (302-2) 31 00 82 </w:t>
      </w:r>
      <w:r>
        <w:fldChar w:fldCharType="begin"/>
      </w:r>
      <w:r>
        <w:rPr>
          <w:color w:val="000000"/>
        </w:rPr>
        <w:instrText> HYPERLINK "mailto:zabgoszakup@goszak.e-zab.ru" </w:instrText>
      </w:r>
      <w:r>
        <w:fldChar w:fldCharType="separate"/>
      </w:r>
      <w:r>
        <w:rPr>
          <w:rStyle w:val="Hyperlink"/>
          <w:lang w:val="en-US" w:eastAsia="en-US" w:bidi="en-US"/>
          <w:w w:val="100"/>
          <w:spacing w:val="0"/>
          <w:position w:val="0"/>
        </w:rPr>
        <w:t>zabgoszakup@goszak.e-zab.ru</w:t>
      </w:r>
      <w:r>
        <w:fldChar w:fldCharType="end"/>
      </w:r>
    </w:p>
    <w:p>
      <w:pPr>
        <w:pStyle w:val="Style7"/>
        <w:framePr w:h="250" w:wrap="around" w:vAnchor="text" w:hAnchor="margin" w:x="-1746" w:y="1206"/>
        <w:widowControl w:val="0"/>
        <w:keepNext w:val="0"/>
        <w:keepLines w:val="0"/>
        <w:shd w:val="clear" w:color="auto" w:fill="auto"/>
        <w:bidi w:val="0"/>
        <w:jc w:val="left"/>
        <w:spacing w:before="0" w:after="0" w:line="240" w:lineRule="exact"/>
        <w:ind w:left="0" w:right="0" w:firstLine="0"/>
      </w:pPr>
      <w:r>
        <w:rPr>
          <w:rStyle w:val="CharStyle8"/>
          <w:spacing w:val="0"/>
        </w:rPr>
        <w:t>13 ноября 2017 года</w:t>
      </w:r>
    </w:p>
    <w:p>
      <w:pPr>
        <w:pStyle w:val="Style15"/>
        <w:widowControl w:val="0"/>
        <w:keepNext w:val="0"/>
        <w:keepLines w:val="0"/>
        <w:shd w:val="clear" w:color="auto" w:fill="auto"/>
        <w:bidi w:val="0"/>
        <w:spacing w:before="0" w:after="338"/>
        <w:ind w:left="40" w:right="0" w:firstLine="0"/>
      </w:pPr>
      <w:r>
        <w:rPr>
          <w:lang w:val="ru-RU" w:eastAsia="ru-RU" w:bidi="ru-RU"/>
          <w:w w:val="100"/>
          <w:spacing w:val="0"/>
          <w:color w:val="000000"/>
          <w:position w:val="0"/>
        </w:rPr>
        <w:t>РЕШЕНИЕ по рассмотрению жалобы № 274 о нарушении законодательства при осуществлении закупки</w:t>
      </w:r>
    </w:p>
    <w:p>
      <w:pPr>
        <w:pStyle w:val="Style7"/>
        <w:widowControl w:val="0"/>
        <w:keepNext w:val="0"/>
        <w:keepLines w:val="0"/>
        <w:shd w:val="clear" w:color="auto" w:fill="auto"/>
        <w:bidi w:val="0"/>
        <w:spacing w:before="0" w:after="0" w:line="260" w:lineRule="exact"/>
        <w:ind w:left="0" w:right="280" w:firstLine="0"/>
        <w:sectPr>
          <w:footnotePr>
            <w:pos w:val="pageBottom"/>
            <w:numFmt w:val="decimal"/>
            <w:numRestart w:val="continuous"/>
          </w:footnotePr>
          <w:type w:val="continuous"/>
          <w:pgSz w:w="11906" w:h="16838"/>
          <w:pgMar w:top="607" w:left="2501" w:right="691" w:bottom="636" w:header="0" w:footer="3" w:gutter="0"/>
          <w:rtlGutter w:val="0"/>
          <w:cols w:space="720"/>
          <w:noEndnote/>
          <w:docGrid w:linePitch="360"/>
        </w:sectPr>
      </w:pPr>
      <w:r>
        <w:rPr>
          <w:lang w:val="ru-RU" w:eastAsia="ru-RU" w:bidi="ru-RU"/>
          <w:w w:val="100"/>
          <w:spacing w:val="0"/>
          <w:color w:val="000000"/>
          <w:position w:val="0"/>
        </w:rPr>
        <w:t>г. Чита, ул. Лермонтова, 14</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 председателя комиссии Горбуновой А.В. заместителя руководителя, начальника отдела контроля закупок Забайкальского УФАС России, членов комиссии: Уваровой В.В. ведущего специалиста-эксперта отдела контроля закупок Забайкальского УФАС России, Оносовой О.С. ведущего специалиста-эксперта этого же отдела,</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рассмотрев поступившую 07.11.2017 жалобу ООО «АМГ»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заказчиком - ГУЗ «Кыринская ЦРБ», уполномоченным учреждением - Государственное казённое учреждение «Забайкальский центр государственных закупок» при проведении электронного аукциона на поставку датчиков пульсоксиметрических для нужд ГУЗ "Кыринская ЦРБ" (реестровый № 0891200000617007878),</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 отсутствие представителя заказчика о месте и времени рассмотрения уведомлен надлежащим образом)</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 присутствии представителя уполномоченного органа - ГКУ «Забайкальский центр государственных закупок» Колесниченко А.Е.(доверенность от 31.07.2017);</w:t>
      </w:r>
    </w:p>
    <w:p>
      <w:pPr>
        <w:pStyle w:val="Style7"/>
        <w:widowControl w:val="0"/>
        <w:keepNext w:val="0"/>
        <w:keepLines w:val="0"/>
        <w:shd w:val="clear" w:color="auto" w:fill="auto"/>
        <w:bidi w:val="0"/>
        <w:jc w:val="both"/>
        <w:spacing w:before="0" w:after="0" w:line="307" w:lineRule="exact"/>
        <w:ind w:left="20" w:right="0" w:firstLine="720"/>
      </w:pPr>
      <w:r>
        <w:rPr>
          <w:lang w:val="ru-RU" w:eastAsia="ru-RU" w:bidi="ru-RU"/>
          <w:w w:val="100"/>
          <w:spacing w:val="0"/>
          <w:color w:val="000000"/>
          <w:position w:val="0"/>
        </w:rPr>
        <w:t>ООО «АМГ» заявило ходатайство о рассмотрении дела в его отсутствии;</w:t>
      </w:r>
      <w:r>
        <w:br w:type="page"/>
      </w:r>
    </w:p>
    <w:p>
      <w:pPr>
        <w:pStyle w:val="Style18"/>
        <w:widowControl w:val="0"/>
        <w:keepNext/>
        <w:keepLines/>
        <w:shd w:val="clear" w:color="auto" w:fill="auto"/>
        <w:bidi w:val="0"/>
        <w:jc w:val="left"/>
        <w:spacing w:before="0" w:after="259" w:line="260" w:lineRule="exact"/>
        <w:ind w:left="4460" w:right="0" w:firstLine="0"/>
      </w:pPr>
      <w:bookmarkStart w:id="0" w:name="bookmark0"/>
      <w:r>
        <w:rPr>
          <w:lang w:val="ru-RU" w:eastAsia="ru-RU" w:bidi="ru-RU"/>
          <w:w w:val="100"/>
          <w:spacing w:val="0"/>
          <w:color w:val="000000"/>
          <w:position w:val="0"/>
        </w:rPr>
        <w:t>УСТАНОВИЛА:</w:t>
      </w:r>
      <w:bookmarkEnd w:id="0"/>
    </w:p>
    <w:p>
      <w:pPr>
        <w:pStyle w:val="Style7"/>
        <w:numPr>
          <w:ilvl w:val="0"/>
          <w:numId w:val="1"/>
        </w:numPr>
        <w:tabs>
          <w:tab w:leader="none" w:pos="2085" w:val="left"/>
        </w:tabs>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в Забайкальское УФАС России поступила жалоба ООО «АМГ» на нарушение требований Закона о контрактной системе заказчиком -ГУЗ «Кыринская ЦРБ», уполномоченным учреждением - Государственное казённое учреждение «Забайкальский центр государственных закупок» при проведении электронного аукциона на поставку датчиков пульсоксиметрических для нужд ГУЗ "Кыринская ЦРБ" (реестровый № 0891200000617007878),</w:t>
      </w:r>
    </w:p>
    <w:p>
      <w:pPr>
        <w:pStyle w:val="Style7"/>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Заявитель считает, что аукционная комиссия приняла неправомерное решение о признании соответствующим требованиям аукционной документации участника ООО «ХТМ», поскольку учредители ООО «ХТМ» включены в реестр недобросовестных поставщиков.</w:t>
      </w:r>
    </w:p>
    <w:p>
      <w:pPr>
        <w:pStyle w:val="Style7"/>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Заявитель просит принять жалобу к рассмотрению, провести внеплановую проверку фактов, изложенных в жалобе, приостановить заключение контракта до рассмотрения жалобы по существу.</w:t>
      </w:r>
    </w:p>
    <w:p>
      <w:pPr>
        <w:pStyle w:val="Style7"/>
        <w:widowControl w:val="0"/>
        <w:keepNext w:val="0"/>
        <w:keepLines w:val="0"/>
        <w:shd w:val="clear" w:color="auto" w:fill="auto"/>
        <w:bidi w:val="0"/>
        <w:jc w:val="both"/>
        <w:spacing w:before="0" w:after="0" w:line="307" w:lineRule="exact"/>
        <w:ind w:left="20" w:right="40" w:firstLine="720"/>
      </w:pPr>
      <w:r>
        <w:rPr>
          <w:rStyle w:val="CharStyle20"/>
        </w:rPr>
        <w:t xml:space="preserve">Представитель уполномоченного учреждения с доводами заявителя не согласился. </w:t>
      </w:r>
      <w:r>
        <w:rPr>
          <w:lang w:val="ru-RU" w:eastAsia="ru-RU" w:bidi="ru-RU"/>
          <w:w w:val="100"/>
          <w:spacing w:val="0"/>
          <w:color w:val="000000"/>
          <w:position w:val="0"/>
        </w:rPr>
        <w:t>Кроме того, указал, что применение только норм Закона о контрактной системе, вырванных из контекста части 1.1 статьи 31 Закона о контрактной системе, неправомерно ввиду следующего.</w:t>
      </w:r>
    </w:p>
    <w:p>
      <w:pPr>
        <w:pStyle w:val="Style7"/>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Согласно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па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w:t>
      </w:r>
    </w:p>
    <w:p>
      <w:pPr>
        <w:pStyle w:val="Style7"/>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В соответствии с частью 1 статьи 2 Федерального закона от 08.02.1998 № 14-ФЗ «Об обществах с ограниченной ответственностью» (далее - Закон об обществах) обществом с ограниченной ответственностью признается созданное одним или несколькими лицами хозяйственное общество, уставный капитал которого разделен на доли; участники общества не отвечают по его обязательствам и несут риск убытков, связанных с деятельностью общества, в пределах стоимости принадлежащих им долей в уставном капитале общества.</w:t>
      </w:r>
    </w:p>
    <w:p>
      <w:pPr>
        <w:pStyle w:val="Style7"/>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Кроме того, Законом об обществах не установлено каких либо ограничений относительно количества юридических лиц, в которых конкретное физическое лицо может являться учредителем, равно как неустановленны положения о субсидиарной ответственности юридических лиц имеющих одинаковых (одних и тех же) учредителей.</w:t>
      </w:r>
    </w:p>
    <w:p>
      <w:pPr>
        <w:pStyle w:val="Style7"/>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Так же, представитель уполномоченного учреждения считает необходимым учитывать и положения установленные частью 2 статьи 56 Гражданского кодекса РФ, согласно которой учредитель (участник) юридического лица или собственник его имущества не отвечает по обязательствам юридического лица, а юридическое лицо не отвечает по обязательствам учредителя (участника) или собственника.</w:t>
      </w:r>
    </w:p>
    <w:p>
      <w:pPr>
        <w:pStyle w:val="Style7"/>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Трактовка части 1.1 статьи 31 Закона о контрактной системе приводимая Заявителем является неверной, так как противоречит статье 34 Конституции Российской Федерации, которой гарантированно право каждого гражданина на свободное использование своих способностей и имущества для предпринимательской и иной не запрещенной законом экономической деятельности.</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Таким образом, положениями Закона о контрактной системе не предусмотрены ограничения для организаций, чьи учредители являются одновременно учредителями другой организации, занесенной в реестр недобросовестных поставщиков.</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Представитель уполномоченного учреждения считает жалобу ООО «АМГ» необоснованной.</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7"/>
        <w:numPr>
          <w:ilvl w:val="0"/>
          <w:numId w:val="3"/>
        </w:numPr>
        <w:tabs>
          <w:tab w:leader="none" w:pos="2310" w:val="left"/>
        </w:tabs>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 xml:space="preserve">уполномоченным органом - ГКУ «Забайкальский центр государственных закупок» на официальном сайте ЕИС размещены Извещение и Документация электронного аукциона на поставку датчиков пульсоксиметрических для нужд ГУЗ «Кыринская </w:t>
      </w:r>
      <w:r>
        <w:rPr>
          <w:rStyle w:val="CharStyle21"/>
        </w:rPr>
        <w:t>НР</w:t>
      </w:r>
      <w:r>
        <w:rPr>
          <w:lang w:val="ru-RU" w:eastAsia="ru-RU" w:bidi="ru-RU"/>
          <w:w w:val="100"/>
          <w:spacing w:val="0"/>
          <w:color w:val="000000"/>
          <w:position w:val="0"/>
        </w:rPr>
        <w:t>Б» (реестровый № 0891200000617007878).</w:t>
      </w:r>
    </w:p>
    <w:p>
      <w:pPr>
        <w:pStyle w:val="Style7"/>
        <w:widowControl w:val="0"/>
        <w:keepNext w:val="0"/>
        <w:keepLines w:val="0"/>
        <w:shd w:val="clear" w:color="auto" w:fill="auto"/>
        <w:bidi w:val="0"/>
        <w:jc w:val="both"/>
        <w:spacing w:before="0" w:after="0" w:line="307" w:lineRule="exact"/>
        <w:ind w:left="20" w:right="0" w:firstLine="720"/>
      </w:pPr>
      <w:r>
        <w:rPr>
          <w:lang w:val="ru-RU" w:eastAsia="ru-RU" w:bidi="ru-RU"/>
          <w:w w:val="100"/>
          <w:spacing w:val="0"/>
          <w:color w:val="000000"/>
          <w:position w:val="0"/>
        </w:rPr>
        <w:t>Начальная (максимальная) цена контракта составляет 46 100,00руб.</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Согласно Протоколу подведения итогов электронного аукциона от 30.10.2017 №0891200000617007878-3 победителем электронного аукциона признано ООО «ХТМ» (ИНН 7805523503), предложившее наиболее низкую цену контракта 23972,00 рублей и заявка на участие в электронном аукционе которого соответствует требованиям документации об электронном аукционе.</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Предложение заявителя (ООО «АМГ») о цене контракта следующие после условий о цене контракта, предложенных победителем электронного аукциона.</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Рассмотрев представленные документы, заслушав представителей сторон, Комиссия приходит к следующим выводам.</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Согласно части 1.1 статьи 31 Закона о контрактной системе заказчик вправе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Воспользовавшись правом, установленным в части 1.1 статьи 31 Закона о контрактной системе, заказчик установил в пункте 8 раздела 16 аукционной документации, следующее требование к участникам закупки:</w:t>
      </w:r>
    </w:p>
    <w:p>
      <w:pPr>
        <w:pStyle w:val="Style7"/>
        <w:widowControl w:val="0"/>
        <w:keepNext w:val="0"/>
        <w:keepLines w:val="0"/>
        <w:shd w:val="clear" w:color="auto" w:fill="auto"/>
        <w:bidi w:val="0"/>
        <w:jc w:val="both"/>
        <w:spacing w:before="0" w:after="0" w:line="307" w:lineRule="exact"/>
        <w:ind w:left="20" w:right="20" w:firstLine="1120"/>
      </w:pPr>
      <w:r>
        <w:rPr>
          <w:lang w:val="ru-RU" w:eastAsia="ru-RU" w:bidi="ru-RU"/>
          <w:w w:val="100"/>
          <w:spacing w:val="0"/>
          <w:color w:val="000000"/>
          <w:position w:val="0"/>
        </w:rPr>
        <w:t xml:space="preserve">отсутствие в реестре недобросовестных поставщиков (подрядчиков, исполнителей) информации об участнике закупки - </w:t>
      </w:r>
      <w:r>
        <w:rPr>
          <w:rStyle w:val="CharStyle20"/>
        </w:rPr>
        <w:t xml:space="preserve">юридическом лице, в том числе информации об учредителях, </w:t>
      </w:r>
      <w:r>
        <w:rPr>
          <w:lang w:val="ru-RU" w:eastAsia="ru-RU" w:bidi="ru-RU"/>
          <w:w w:val="100"/>
          <w:spacing w:val="0"/>
          <w:color w:val="000000"/>
          <w:position w:val="0"/>
        </w:rPr>
        <w:t>о членах коллегиального исполнительного органа, лице, исполняющем функции единоличного исполнительного органа участника закупки.</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Ввиду вышеуказанного требования, юридическое лицо, в том числе, информация об учредителе которого содержится в реестре недобросовестных поставщиков (подрядчиков, исполнителей), не может являться участником электронного аукциона.</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Данное требование исключает возможность злоупотреблений, связанных с возможностью неограниченного создания одними и теми же учредителями новых юридических лиц взамен включенных в реестр недобросовестных поставщиков (подрядчиков, исполнителей) за нарушения в ходе закупок.</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7"/>
        <w:numPr>
          <w:ilvl w:val="0"/>
          <w:numId w:val="5"/>
        </w:numPr>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 xml:space="preserve">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7"/>
        <w:numPr>
          <w:ilvl w:val="0"/>
          <w:numId w:val="5"/>
        </w:numPr>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Принятие решения о несоответствии заявки на участие в электронном аукционе требованиям, установленным документацией о таком аукционе, по иным основаниям, в соответствии с частью 7 статьи 69 Закона о контрактной системе, не допускается.</w:t>
      </w:r>
    </w:p>
    <w:p>
      <w:pPr>
        <w:pStyle w:val="Style7"/>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Из изложенного выше следует, что в случае, если участник закупки не соответствует требованиям аукционной документации, то аукционной комиссии надлежит признать заявку на участие в электронном аукционе такого участника не соответствующей требованиям аукционной документации ввиду его несоответствия требованиям, установленным на основании части 1.1 статьи 31 Закона о контрактной системе.</w:t>
      </w:r>
    </w:p>
    <w:p>
      <w:pPr>
        <w:pStyle w:val="Style7"/>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Согласно Протоколу подведения итогов электронного аукциона от 30.10.2017 №0891200000617007878-3 следует, что победителем электронного аукциона признано ООО «ХТМ» (ИНН 7805523503), заявка (порядковый номер заявки № 1) на участие в электронном аукционе которого соответствует требованиям документации об электронном аукционе.</w:t>
      </w:r>
    </w:p>
    <w:p>
      <w:pPr>
        <w:pStyle w:val="Style7"/>
        <w:widowControl w:val="0"/>
        <w:keepNext w:val="0"/>
        <w:keepLines w:val="0"/>
        <w:shd w:val="clear" w:color="auto" w:fill="auto"/>
        <w:bidi w:val="0"/>
        <w:jc w:val="both"/>
        <w:spacing w:before="0" w:after="0" w:line="307" w:lineRule="exact"/>
        <w:ind w:left="20" w:right="0" w:firstLine="720"/>
      </w:pPr>
      <w:r>
        <w:rPr>
          <w:lang w:val="ru-RU" w:eastAsia="ru-RU" w:bidi="ru-RU"/>
          <w:w w:val="100"/>
          <w:spacing w:val="0"/>
          <w:color w:val="000000"/>
          <w:position w:val="0"/>
        </w:rPr>
        <w:t>В соответствии со сведениями из ЕГРЮЛ ООО «ХТМ» (ИНН 7805523503) от</w:t>
      </w:r>
    </w:p>
    <w:p>
      <w:pPr>
        <w:pStyle w:val="Style7"/>
        <w:numPr>
          <w:ilvl w:val="0"/>
          <w:numId w:val="7"/>
        </w:numPr>
        <w:tabs>
          <w:tab w:leader="none" w:pos="1515" w:val="left"/>
        </w:tabs>
        <w:widowControl w:val="0"/>
        <w:keepNext w:val="0"/>
        <w:keepLines w:val="0"/>
        <w:shd w:val="clear" w:color="auto" w:fill="auto"/>
        <w:bidi w:val="0"/>
        <w:jc w:val="both"/>
        <w:spacing w:before="0" w:after="239" w:line="307" w:lineRule="exact"/>
        <w:ind w:left="20" w:right="40" w:firstLine="0"/>
      </w:pPr>
      <w:r>
        <w:rPr>
          <w:lang w:val="ru-RU" w:eastAsia="ru-RU" w:bidi="ru-RU"/>
          <w:w w:val="100"/>
          <w:spacing w:val="0"/>
          <w:color w:val="000000"/>
          <w:position w:val="0"/>
        </w:rPr>
        <w:t>учредителями этого юридического лица и генеральным директором являются:</w:t>
      </w:r>
    </w:p>
    <w:tbl>
      <w:tblPr>
        <w:tblOverlap w:val="never"/>
        <w:tblLayout w:type="fixed"/>
        <w:jc w:val="center"/>
      </w:tblPr>
      <w:tblGrid>
        <w:gridCol w:w="7718"/>
        <w:gridCol w:w="2477"/>
      </w:tblGrid>
      <w:tr>
        <w:trPr>
          <w:trHeight w:val="643" w:hRule="exact"/>
        </w:trPr>
        <w:tc>
          <w:tcPr>
            <w:shd w:val="clear" w:color="auto" w:fill="FFFFFF"/>
            <w:tcBorders>
              <w:left w:val="single" w:sz="4"/>
              <w:top w:val="single" w:sz="4"/>
            </w:tcBorders>
            <w:vAlign w:val="bottom"/>
          </w:tcPr>
          <w:p>
            <w:pPr>
              <w:pStyle w:val="Style7"/>
              <w:framePr w:w="10195" w:wrap="notBeside" w:vAnchor="text" w:hAnchor="text" w:xAlign="center" w:y="1"/>
              <w:widowControl w:val="0"/>
              <w:keepNext w:val="0"/>
              <w:keepLines w:val="0"/>
              <w:shd w:val="clear" w:color="auto" w:fill="auto"/>
              <w:bidi w:val="0"/>
              <w:jc w:val="left"/>
              <w:spacing w:before="0" w:after="0" w:line="317" w:lineRule="exact"/>
              <w:ind w:left="60" w:right="0" w:firstLine="0"/>
            </w:pPr>
            <w:r>
              <w:rPr>
                <w:rStyle w:val="CharStyle22"/>
              </w:rPr>
              <w:t>Еущин Валерий Николаевич - учредитель и генеральный директор</w:t>
            </w:r>
          </w:p>
        </w:tc>
        <w:tc>
          <w:tcPr>
            <w:shd w:val="clear" w:color="auto" w:fill="FFFFFF"/>
            <w:tcBorders>
              <w:left w:val="single" w:sz="4"/>
              <w:right w:val="single" w:sz="4"/>
              <w:top w:val="single" w:sz="4"/>
            </w:tcBorders>
            <w:vAlign w:val="top"/>
          </w:tcPr>
          <w:p>
            <w:pPr>
              <w:pStyle w:val="Style7"/>
              <w:framePr w:w="10195" w:wrap="notBeside" w:vAnchor="text" w:hAnchor="text" w:xAlign="center" w:y="1"/>
              <w:widowControl w:val="0"/>
              <w:keepNext w:val="0"/>
              <w:keepLines w:val="0"/>
              <w:shd w:val="clear" w:color="auto" w:fill="auto"/>
              <w:bidi w:val="0"/>
              <w:jc w:val="left"/>
              <w:spacing w:before="0" w:after="0" w:line="260" w:lineRule="exact"/>
              <w:ind w:left="40" w:right="0" w:firstLine="0"/>
            </w:pPr>
            <w:r>
              <w:rPr>
                <w:rStyle w:val="CharStyle22"/>
              </w:rPr>
              <w:t>ИНН 780607882650</w:t>
            </w:r>
          </w:p>
        </w:tc>
      </w:tr>
      <w:tr>
        <w:trPr>
          <w:trHeight w:val="528" w:hRule="exact"/>
        </w:trPr>
        <w:tc>
          <w:tcPr>
            <w:shd w:val="clear" w:color="auto" w:fill="FFFFFF"/>
            <w:tcBorders>
              <w:left w:val="single" w:sz="4"/>
              <w:top w:val="single" w:sz="4"/>
            </w:tcBorders>
            <w:vAlign w:val="top"/>
          </w:tcPr>
          <w:p>
            <w:pPr>
              <w:pStyle w:val="Style7"/>
              <w:framePr w:w="10195"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22"/>
              </w:rPr>
              <w:t>Кизилов Дмитрий Юрьевич - учредитель</w:t>
            </w:r>
          </w:p>
        </w:tc>
        <w:tc>
          <w:tcPr>
            <w:shd w:val="clear" w:color="auto" w:fill="FFFFFF"/>
            <w:tcBorders>
              <w:left w:val="single" w:sz="4"/>
              <w:right w:val="single" w:sz="4"/>
              <w:top w:val="single" w:sz="4"/>
            </w:tcBorders>
            <w:vAlign w:val="top"/>
          </w:tcPr>
          <w:p>
            <w:pPr>
              <w:pStyle w:val="Style7"/>
              <w:framePr w:w="10195" w:wrap="notBeside" w:vAnchor="text" w:hAnchor="text" w:xAlign="center" w:y="1"/>
              <w:widowControl w:val="0"/>
              <w:keepNext w:val="0"/>
              <w:keepLines w:val="0"/>
              <w:shd w:val="clear" w:color="auto" w:fill="auto"/>
              <w:bidi w:val="0"/>
              <w:jc w:val="left"/>
              <w:spacing w:before="0" w:after="0" w:line="260" w:lineRule="exact"/>
              <w:ind w:left="40" w:right="0" w:firstLine="0"/>
            </w:pPr>
            <w:r>
              <w:rPr>
                <w:rStyle w:val="CharStyle22"/>
              </w:rPr>
              <w:t>ИНН 463100683806</w:t>
            </w:r>
          </w:p>
        </w:tc>
      </w:tr>
      <w:tr>
        <w:trPr>
          <w:trHeight w:val="566" w:hRule="exact"/>
        </w:trPr>
        <w:tc>
          <w:tcPr>
            <w:shd w:val="clear" w:color="auto" w:fill="FFFFFF"/>
            <w:tcBorders>
              <w:left w:val="single" w:sz="4"/>
              <w:top w:val="single" w:sz="4"/>
              <w:bottom w:val="single" w:sz="4"/>
            </w:tcBorders>
            <w:vAlign w:val="top"/>
          </w:tcPr>
          <w:p>
            <w:pPr>
              <w:pStyle w:val="Style7"/>
              <w:framePr w:w="10195"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22"/>
              </w:rPr>
              <w:t>Марьян Андрей Владимирович- учредитель</w:t>
            </w:r>
          </w:p>
        </w:tc>
        <w:tc>
          <w:tcPr>
            <w:shd w:val="clear" w:color="auto" w:fill="FFFFFF"/>
            <w:tcBorders>
              <w:left w:val="single" w:sz="4"/>
              <w:right w:val="single" w:sz="4"/>
              <w:top w:val="single" w:sz="4"/>
              <w:bottom w:val="single" w:sz="4"/>
            </w:tcBorders>
            <w:vAlign w:val="top"/>
          </w:tcPr>
          <w:p>
            <w:pPr>
              <w:pStyle w:val="Style7"/>
              <w:framePr w:w="10195" w:wrap="notBeside" w:vAnchor="text" w:hAnchor="text" w:xAlign="center" w:y="1"/>
              <w:widowControl w:val="0"/>
              <w:keepNext w:val="0"/>
              <w:keepLines w:val="0"/>
              <w:shd w:val="clear" w:color="auto" w:fill="auto"/>
              <w:bidi w:val="0"/>
              <w:jc w:val="left"/>
              <w:spacing w:before="0" w:after="0" w:line="260" w:lineRule="exact"/>
              <w:ind w:left="40" w:right="0" w:firstLine="0"/>
            </w:pPr>
            <w:r>
              <w:rPr>
                <w:rStyle w:val="CharStyle22"/>
              </w:rPr>
              <w:t>ИНН 231200206950</w:t>
            </w:r>
          </w:p>
        </w:tc>
      </w:tr>
    </w:tbl>
    <w:p>
      <w:pPr>
        <w:widowControl w:val="0"/>
        <w:rPr>
          <w:sz w:val="2"/>
          <w:szCs w:val="2"/>
        </w:rPr>
      </w:pPr>
    </w:p>
    <w:p>
      <w:pPr>
        <w:pStyle w:val="Style7"/>
        <w:widowControl w:val="0"/>
        <w:keepNext w:val="0"/>
        <w:keepLines w:val="0"/>
        <w:shd w:val="clear" w:color="auto" w:fill="auto"/>
        <w:bidi w:val="0"/>
        <w:jc w:val="both"/>
        <w:spacing w:before="247" w:after="0" w:line="312" w:lineRule="exact"/>
        <w:ind w:left="20" w:right="40" w:firstLine="880"/>
      </w:pPr>
      <w:r>
        <w:rPr>
          <w:lang w:val="ru-RU" w:eastAsia="ru-RU" w:bidi="ru-RU"/>
          <w:w w:val="100"/>
          <w:spacing w:val="0"/>
          <w:color w:val="000000"/>
          <w:position w:val="0"/>
        </w:rPr>
        <w:t xml:space="preserve">Как следует из реестра недобросовестных поставщиков (подрядчиков, исполнителей), размещенного в ЕИС (на официальном сайте единой информационной системы в сфере закупок в информационно-телекоммуникационной сети Интернет, предназначенном для обеспечения свободного и безвозмездного доступа к полной и достоверной информации о контрактной системе в сфере закупок, в том числе к информации об участниках закупок, включенных реестр недобросовестных поставщиков (подрядчиков, исполнителей) и их учредителях) учредители </w:t>
      </w:r>
      <w:r>
        <w:rPr>
          <w:rStyle w:val="CharStyle20"/>
        </w:rPr>
        <w:t xml:space="preserve">ООО «ХТМ» </w:t>
      </w:r>
      <w:r>
        <w:rPr>
          <w:lang w:val="ru-RU" w:eastAsia="ru-RU" w:bidi="ru-RU"/>
          <w:w w:val="100"/>
          <w:spacing w:val="0"/>
          <w:color w:val="000000"/>
          <w:position w:val="0"/>
        </w:rPr>
        <w:t>(Еущин В.Н., Кизилов Д. Ю., Марьян А.В.) также являются:</w:t>
      </w:r>
    </w:p>
    <w:p>
      <w:pPr>
        <w:pStyle w:val="Style7"/>
        <w:numPr>
          <w:ilvl w:val="0"/>
          <w:numId w:val="9"/>
        </w:numPr>
        <w:tabs>
          <w:tab w:leader="none" w:pos="1515" w:val="left"/>
        </w:tabs>
        <w:widowControl w:val="0"/>
        <w:keepNext w:val="0"/>
        <w:keepLines w:val="0"/>
        <w:shd w:val="clear" w:color="auto" w:fill="auto"/>
        <w:bidi w:val="0"/>
        <w:jc w:val="both"/>
        <w:spacing w:before="0" w:after="0" w:line="312" w:lineRule="exact"/>
        <w:ind w:left="20" w:right="40" w:firstLine="880"/>
      </w:pPr>
      <w:r>
        <w:rPr>
          <w:lang w:val="ru-RU" w:eastAsia="ru-RU" w:bidi="ru-RU"/>
          <w:w w:val="100"/>
          <w:spacing w:val="0"/>
          <w:color w:val="000000"/>
          <w:position w:val="0"/>
        </w:rPr>
        <w:t xml:space="preserve">учредителями </w:t>
      </w:r>
      <w:r>
        <w:rPr>
          <w:rStyle w:val="CharStyle20"/>
        </w:rPr>
        <w:t xml:space="preserve">ООО «Логос» </w:t>
      </w:r>
      <w:r>
        <w:rPr>
          <w:lang w:val="ru-RU" w:eastAsia="ru-RU" w:bidi="ru-RU"/>
          <w:w w:val="100"/>
          <w:spacing w:val="0"/>
          <w:color w:val="000000"/>
          <w:position w:val="0"/>
        </w:rPr>
        <w:t>(ИНН 7805576329), включенного в реестр недобросовестных поставщиков (подрядчиков, исполнителей) за номерами реестровой записи РНП.86178-17 от 24.03.2017; РНП.87493-17 от 04.05.2017; РНП.87963-17 от</w:t>
      </w:r>
    </w:p>
    <w:p>
      <w:pPr>
        <w:pStyle w:val="Style7"/>
        <w:widowControl w:val="0"/>
        <w:keepNext w:val="0"/>
        <w:keepLines w:val="0"/>
        <w:shd w:val="clear" w:color="auto" w:fill="auto"/>
        <w:bidi w:val="0"/>
        <w:jc w:val="both"/>
        <w:spacing w:before="0" w:after="0" w:line="312" w:lineRule="exact"/>
        <w:ind w:left="20" w:right="0" w:firstLine="0"/>
      </w:pPr>
      <w:r>
        <w:rPr>
          <w:lang w:val="ru-RU" w:eastAsia="ru-RU" w:bidi="ru-RU"/>
          <w:w w:val="100"/>
          <w:spacing w:val="0"/>
          <w:color w:val="000000"/>
          <w:position w:val="0"/>
        </w:rPr>
        <w:t>07.06.2017.</w:t>
      </w:r>
    </w:p>
    <w:p>
      <w:pPr>
        <w:pStyle w:val="Style7"/>
        <w:numPr>
          <w:ilvl w:val="0"/>
          <w:numId w:val="9"/>
        </w:numPr>
        <w:tabs>
          <w:tab w:leader="none" w:pos="1426" w:val="left"/>
        </w:tabs>
        <w:widowControl w:val="0"/>
        <w:keepNext w:val="0"/>
        <w:keepLines w:val="0"/>
        <w:shd w:val="clear" w:color="auto" w:fill="auto"/>
        <w:bidi w:val="0"/>
        <w:jc w:val="both"/>
        <w:spacing w:before="0" w:after="0" w:line="307" w:lineRule="exact"/>
        <w:ind w:left="20" w:right="20" w:firstLine="840"/>
      </w:pPr>
      <w:r>
        <w:rPr>
          <w:lang w:val="ru-RU" w:eastAsia="ru-RU" w:bidi="ru-RU"/>
          <w:w w:val="100"/>
          <w:spacing w:val="0"/>
          <w:color w:val="000000"/>
          <w:position w:val="0"/>
        </w:rPr>
        <w:t xml:space="preserve">учредителями </w:t>
      </w:r>
      <w:r>
        <w:rPr>
          <w:rStyle w:val="CharStyle20"/>
        </w:rPr>
        <w:t xml:space="preserve">ООО «Логос Северо-Запад» </w:t>
      </w:r>
      <w:r>
        <w:rPr>
          <w:lang w:val="ru-RU" w:eastAsia="ru-RU" w:bidi="ru-RU"/>
          <w:w w:val="100"/>
          <w:spacing w:val="0"/>
          <w:color w:val="000000"/>
          <w:position w:val="0"/>
        </w:rPr>
        <w:t>(ИНН 7802596655), включенного в реестр недобросовестных поставщиков (подрядчиков, исполнителей) за номером реестровой записи РНП.88523-17 от 18.07.2017.</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Таким образом, учредители ООО «ХТМ» включены в реестр недобросовестных поставщиков как учредители ООО «Логос Северо-Запад», ООО «Логос» в 2017 году сроком на 2 года </w:t>
      </w:r>
      <w:r>
        <w:rPr>
          <w:rStyle w:val="CharStyle23"/>
          <w:b w:val="0"/>
          <w:bCs w:val="0"/>
        </w:rPr>
        <w:t>(последняя планируемая дата исключения из реестра 18.07.2019).</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Следовательно, в своей заявке ООО «ХТМ» (ИНН 7805523503) предоставило недостоверные сведения относительно отсутствия в Реестре недобросовестных поставщиков сведений об учредителях общества и его генеральном директоре.</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Согласно части 1 статьи 104 Закона о контрактной системе реестр недобросовестных поставщиков ведется федеральным органом исполнительной власти, уполномоченным на осуществление контроля в сфере закупок - ФАС России.</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Реестр используется как правовой инструмент защиты заказчиков от потенциально недобросовестных поставщиков (подрядчиков, исполнителей).</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Согласно пункту 2 статьи 104 Закона о контрактной системе сведения о поставщиках (подрядчиках, исполнителях) вносятся в РНП в случаях:</w:t>
      </w:r>
    </w:p>
    <w:p>
      <w:pPr>
        <w:pStyle w:val="Style7"/>
        <w:numPr>
          <w:ilvl w:val="0"/>
          <w:numId w:val="11"/>
        </w:numPr>
        <w:widowControl w:val="0"/>
        <w:keepNext w:val="0"/>
        <w:keepLines w:val="0"/>
        <w:shd w:val="clear" w:color="auto" w:fill="auto"/>
        <w:bidi w:val="0"/>
        <w:jc w:val="both"/>
        <w:spacing w:before="0" w:after="0" w:line="307" w:lineRule="exact"/>
        <w:ind w:left="20" w:right="0" w:firstLine="720"/>
      </w:pPr>
      <w:r>
        <w:rPr>
          <w:lang w:val="ru-RU" w:eastAsia="ru-RU" w:bidi="ru-RU"/>
          <w:w w:val="100"/>
          <w:spacing w:val="0"/>
          <w:color w:val="000000"/>
          <w:position w:val="0"/>
        </w:rPr>
        <w:t xml:space="preserve"> уклонения участника закупки от заключения контракта;</w:t>
      </w:r>
    </w:p>
    <w:p>
      <w:pPr>
        <w:pStyle w:val="Style7"/>
        <w:numPr>
          <w:ilvl w:val="0"/>
          <w:numId w:val="11"/>
        </w:numPr>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 xml:space="preserve"> расторжения контракта по решению суда в связи с существенным нарушением поставщиком (подрядчиком, исполнителем) его условий;</w:t>
      </w:r>
    </w:p>
    <w:p>
      <w:pPr>
        <w:pStyle w:val="Style7"/>
        <w:numPr>
          <w:ilvl w:val="0"/>
          <w:numId w:val="11"/>
        </w:numPr>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 xml:space="preserve"> одностороннего отказа заказчика от исполнения контракта в связи с указанным нарушением.</w:t>
      </w:r>
    </w:p>
    <w:p>
      <w:pPr>
        <w:pStyle w:val="Style7"/>
        <w:widowControl w:val="0"/>
        <w:keepNext w:val="0"/>
        <w:keepLines w:val="0"/>
        <w:shd w:val="clear" w:color="auto" w:fill="auto"/>
        <w:bidi w:val="0"/>
        <w:jc w:val="both"/>
        <w:spacing w:before="0" w:after="0" w:line="307" w:lineRule="exact"/>
        <w:ind w:left="20" w:right="0" w:firstLine="720"/>
      </w:pPr>
      <w:r>
        <w:rPr>
          <w:lang w:val="ru-RU" w:eastAsia="ru-RU" w:bidi="ru-RU"/>
          <w:w w:val="100"/>
          <w:spacing w:val="0"/>
          <w:color w:val="000000"/>
          <w:position w:val="0"/>
        </w:rPr>
        <w:t>Законом установлен перечень информации, которая включается в реестр, в том</w:t>
      </w:r>
    </w:p>
    <w:p>
      <w:pPr>
        <w:pStyle w:val="Style7"/>
        <w:widowControl w:val="0"/>
        <w:keepNext w:val="0"/>
        <w:keepLines w:val="0"/>
        <w:shd w:val="clear" w:color="auto" w:fill="auto"/>
        <w:bidi w:val="0"/>
        <w:jc w:val="left"/>
        <w:spacing w:before="0" w:after="0" w:line="307" w:lineRule="exact"/>
        <w:ind w:left="20" w:right="0" w:firstLine="0"/>
      </w:pPr>
      <w:r>
        <w:rPr>
          <w:lang w:val="ru-RU" w:eastAsia="ru-RU" w:bidi="ru-RU"/>
          <w:w w:val="100"/>
          <w:spacing w:val="0"/>
          <w:color w:val="000000"/>
          <w:position w:val="0"/>
        </w:rPr>
        <w:t>числе:</w:t>
      </w:r>
    </w:p>
    <w:p>
      <w:pPr>
        <w:pStyle w:val="Style7"/>
        <w:numPr>
          <w:ilvl w:val="0"/>
          <w:numId w:val="11"/>
        </w:numPr>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 xml:space="preserve"> наименование, место нахождения (для юридического лица), фамилия, имя, отчество, ИНН участника закупки;</w:t>
      </w:r>
    </w:p>
    <w:p>
      <w:pPr>
        <w:pStyle w:val="Style15"/>
        <w:numPr>
          <w:ilvl w:val="0"/>
          <w:numId w:val="11"/>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ИНН лица, являющегося учредителем вносимого в Р</w:t>
      </w:r>
      <w:r>
        <w:rPr>
          <w:rStyle w:val="CharStyle24"/>
          <w:b/>
          <w:bCs/>
        </w:rPr>
        <w:t>НП</w:t>
      </w:r>
      <w:r>
        <w:rPr>
          <w:lang w:val="ru-RU" w:eastAsia="ru-RU" w:bidi="ru-RU"/>
          <w:w w:val="100"/>
          <w:spacing w:val="0"/>
          <w:color w:val="000000"/>
          <w:position w:val="0"/>
        </w:rPr>
        <w:t xml:space="preserve"> юридического</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лица;</w:t>
      </w:r>
    </w:p>
    <w:p>
      <w:pPr>
        <w:pStyle w:val="Style7"/>
        <w:numPr>
          <w:ilvl w:val="0"/>
          <w:numId w:val="11"/>
        </w:numPr>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 xml:space="preserve"> фамилии, имена, отчества учредителей, членов коллегиальных исполнительных органов, лиц, исполняющих функции единоличного исполнительного органа, включаемых в реестр юридических лиц.</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Таким образом, Законом о контрактной системе, а также Правилами ведения реестра недобросовестных поставщиков (подрядчиков, исполнителей) (Постановление Правительства РФ от 25 ноября 2013 году № 1062 «О порядке ведения реестра недобросовестных поставщиков (подрядчиков, исполнителей)» предусмотрено ведение федеральным органом исполнительной власти, уполномоченным на осуществление контроля в сфере закупок реестра недобросовестных поставщиков (подрядчиков, исполнителей), в который включается, в том числе информация об учредителях таких поставщиков (подрядчиков, исполнителей), а не ведение отдельного реестра учредителей поставщиков (подрядчиков, исполнителей), включенных в реестр недобросовестных поставщиков (подрядчиков, исполнителей).</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Комиссия Забайкальского УФАС России установила, что члены аукционной комиссии располагали информацией о том, что учредители ООО «ХТМ» включены в реестр недобросовестных поставщиков. Технические возможности поисковой системы реестра позволяют членам аукционной комиссии установить внесены ли подлежащее проверке юридические лица, учредители, члены коллегиального исполнительного органа, лица, исполняющие функции единоличного исполнительного органа участника закупки в реестр недобросовестных поставщиков.</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Представитель уполномоченного учреждения сообщил, что членам аукционной комиссии была проверена информация о включении сведений об участнике закупки, юридическом лице, в том числе учредителе юридического лица в реестре недобросовестных поставщиков, размещенная в ЕИС. В результате проверки было установлено, что сведения об учредителях ООО «ХТМ» включены в реестр недобросовестных поставщиков, однако, члены аукционной комиссии посчитали, что требование об отсутствии в предусмотренном Законом о контрактной системе реестре недобросовестных поставщиков (подрядчиков, исполнителей) устанавливается именно к участнику закупки - юридическому лицу, а не к учредителям, следовательно, заявка</w:t>
      </w:r>
    </w:p>
    <w:p>
      <w:pPr>
        <w:pStyle w:val="Style7"/>
        <w:numPr>
          <w:ilvl w:val="0"/>
          <w:numId w:val="13"/>
        </w:numPr>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 xml:space="preserve"> «ХТМ» признана соответствующей требованиям аукционной документации.</w:t>
      </w:r>
    </w:p>
    <w:p>
      <w:pPr>
        <w:pStyle w:val="Style7"/>
        <w:widowControl w:val="0"/>
        <w:keepNext w:val="0"/>
        <w:keepLines w:val="0"/>
        <w:shd w:val="clear" w:color="auto" w:fill="auto"/>
        <w:bidi w:val="0"/>
        <w:jc w:val="both"/>
        <w:spacing w:before="0" w:after="0" w:line="307" w:lineRule="exact"/>
        <w:ind w:left="20" w:right="0" w:firstLine="720"/>
      </w:pPr>
      <w:r>
        <w:rPr>
          <w:lang w:val="ru-RU" w:eastAsia="ru-RU" w:bidi="ru-RU"/>
          <w:w w:val="100"/>
          <w:spacing w:val="0"/>
          <w:color w:val="000000"/>
          <w:position w:val="0"/>
        </w:rPr>
        <w:t>Ввиду изложенного, Комиссия приходит к выводу, что заявка участника ООО</w:t>
      </w:r>
    </w:p>
    <w:p>
      <w:pPr>
        <w:pStyle w:val="Style7"/>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«ХТМ», в нарушение требований пункта 2 части 6 статьи 69 Закона о контрактной системе, не признана аукционной комиссией несоответствующей требованиям аукционной документации (в частности несоответствующей требованию, установленному пунктом 8 раздела 16 аукционной документации).</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Таким образом, Комиссия Забайкальского УФАС России приходит к выводу, что действия аукционной комиссии в части признания соответствующей требованиям аукционной документации заявки ООО «ХТМ» является неправомерным и нарушает требования положения пункта 2 части 6 статьи 69 Закона о контрактной системе.</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w:t>
      </w:r>
    </w:p>
    <w:p>
      <w:pPr>
        <w:pStyle w:val="Style7"/>
        <w:numPr>
          <w:ilvl w:val="0"/>
          <w:numId w:val="13"/>
        </w:numPr>
        <w:widowControl w:val="0"/>
        <w:keepNext w:val="0"/>
        <w:keepLines w:val="0"/>
        <w:shd w:val="clear" w:color="auto" w:fill="auto"/>
        <w:bidi w:val="0"/>
        <w:jc w:val="both"/>
        <w:spacing w:before="0" w:after="294" w:line="307" w:lineRule="exact"/>
        <w:ind w:left="20" w:right="20" w:firstLine="0"/>
      </w:pPr>
      <w:r>
        <w:rPr>
          <w:lang w:val="ru-RU" w:eastAsia="ru-RU" w:bidi="ru-RU"/>
          <w:w w:val="100"/>
          <w:spacing w:val="0"/>
          <w:color w:val="000000"/>
          <w:position w:val="0"/>
        </w:rPr>
        <w:t xml:space="preserve"> части 15 статьи 99, Закона о контрактной системе, административным регламентом (утв. приказом ФАС России от 19.11.2014 №727/14) комиссия,</w:t>
      </w:r>
    </w:p>
    <w:p>
      <w:pPr>
        <w:pStyle w:val="Style25"/>
        <w:widowControl w:val="0"/>
        <w:keepNext w:val="0"/>
        <w:keepLines w:val="0"/>
        <w:shd w:val="clear" w:color="auto" w:fill="auto"/>
        <w:bidi w:val="0"/>
        <w:jc w:val="left"/>
        <w:spacing w:before="0" w:after="258" w:line="240" w:lineRule="exact"/>
        <w:ind w:left="4660" w:right="0" w:firstLine="0"/>
      </w:pPr>
      <w:r>
        <w:rPr>
          <w:lang w:val="ru-RU" w:eastAsia="ru-RU" w:bidi="ru-RU"/>
          <w:sz w:val="24"/>
          <w:szCs w:val="24"/>
          <w:w w:val="100"/>
          <w:color w:val="000000"/>
          <w:position w:val="0"/>
        </w:rPr>
        <w:t>РЕШИЛА:</w:t>
      </w:r>
    </w:p>
    <w:p>
      <w:pPr>
        <w:pStyle w:val="Style7"/>
        <w:numPr>
          <w:ilvl w:val="0"/>
          <w:numId w:val="15"/>
        </w:numPr>
        <w:widowControl w:val="0"/>
        <w:keepNext w:val="0"/>
        <w:keepLines w:val="0"/>
        <w:shd w:val="clear" w:color="auto" w:fill="auto"/>
        <w:bidi w:val="0"/>
        <w:jc w:val="both"/>
        <w:spacing w:before="0" w:after="0" w:line="307" w:lineRule="exact"/>
        <w:ind w:left="20" w:right="0" w:firstLine="720"/>
      </w:pPr>
      <w:r>
        <w:rPr>
          <w:lang w:val="ru-RU" w:eastAsia="ru-RU" w:bidi="ru-RU"/>
          <w:w w:val="100"/>
          <w:spacing w:val="0"/>
          <w:color w:val="000000"/>
          <w:position w:val="0"/>
        </w:rPr>
        <w:t xml:space="preserve"> Жалобу ООО «АМГ» признать обоснованной.</w:t>
      </w:r>
    </w:p>
    <w:p>
      <w:pPr>
        <w:pStyle w:val="Style7"/>
        <w:numPr>
          <w:ilvl w:val="0"/>
          <w:numId w:val="15"/>
        </w:numPr>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 xml:space="preserve"> Признать аукционную комиссию нарушившей требования пункта 2 части 6 статьи 69 Закона о контрактной системе.</w:t>
      </w:r>
    </w:p>
    <w:p>
      <w:pPr>
        <w:pStyle w:val="Style7"/>
        <w:numPr>
          <w:ilvl w:val="0"/>
          <w:numId w:val="15"/>
        </w:numPr>
        <w:widowControl w:val="0"/>
        <w:keepNext w:val="0"/>
        <w:keepLines w:val="0"/>
        <w:shd w:val="clear" w:color="auto" w:fill="auto"/>
        <w:bidi w:val="0"/>
        <w:jc w:val="both"/>
        <w:spacing w:before="0" w:after="225" w:line="307" w:lineRule="exact"/>
        <w:ind w:left="20" w:right="20" w:firstLine="720"/>
      </w:pPr>
      <w:r>
        <w:rPr>
          <w:lang w:val="ru-RU" w:eastAsia="ru-RU" w:bidi="ru-RU"/>
          <w:w w:val="100"/>
          <w:spacing w:val="0"/>
          <w:color w:val="000000"/>
          <w:position w:val="0"/>
        </w:rPr>
        <w:t xml:space="preserve"> Выдать членам аукционной комиссии обязательное для исполнения предписание об устранении нарушений законодательства об осуществлении закупок.</w:t>
      </w:r>
    </w:p>
    <w:p>
      <w:pPr>
        <w:pStyle w:val="Style7"/>
        <w:widowControl w:val="0"/>
        <w:keepNext w:val="0"/>
        <w:keepLines w:val="0"/>
        <w:shd w:val="clear" w:color="auto" w:fill="auto"/>
        <w:bidi w:val="0"/>
        <w:jc w:val="both"/>
        <w:spacing w:before="0" w:after="0" w:line="326" w:lineRule="exact"/>
        <w:ind w:left="20" w:right="20" w:firstLine="720"/>
        <w:sectPr>
          <w:type w:val="continuous"/>
          <w:pgSz w:w="11906" w:h="16838"/>
          <w:pgMar w:top="1278" w:left="774" w:right="860" w:bottom="678" w:header="0" w:footer="3" w:gutter="0"/>
          <w:rtlGutter w:val="0"/>
          <w:cols w:space="720"/>
          <w:noEndnote/>
          <w:docGrid w:linePitch="360"/>
        </w:sectPr>
      </w:pPr>
      <w:r>
        <w:rPr>
          <w:lang w:val="ru-RU" w:eastAsia="ru-RU" w:bidi="ru-RU"/>
          <w:w w:val="100"/>
          <w:spacing w:val="0"/>
          <w:color w:val="000000"/>
          <w:position w:val="0"/>
        </w:rPr>
        <w:t>Решение может быть обжаловано в Арбитражный суд Забайкальского края в течение трех месяцев со дня его принятия.</w:t>
      </w:r>
    </w:p>
    <w:p>
      <w:pPr>
        <w:widowControl w:val="0"/>
        <w:spacing w:line="240" w:lineRule="exact"/>
        <w:rPr>
          <w:sz w:val="19"/>
          <w:szCs w:val="19"/>
        </w:rPr>
      </w:pPr>
    </w:p>
    <w:p>
      <w:pPr>
        <w:widowControl w:val="0"/>
        <w:spacing w:before="92" w:after="9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338" w:line="260" w:lineRule="exact"/>
        <w:ind w:left="0" w:right="0" w:firstLine="0"/>
      </w:pPr>
      <w:r>
        <w:rPr>
          <w:lang w:val="ru-RU" w:eastAsia="ru-RU" w:bidi="ru-RU"/>
          <w:w w:val="100"/>
          <w:spacing w:val="0"/>
          <w:color w:val="000000"/>
          <w:position w:val="0"/>
        </w:rPr>
        <w:t>Председатель комиссии:</w:t>
      </w:r>
    </w:p>
    <w:p>
      <w:pPr>
        <w:pStyle w:val="Style7"/>
        <w:widowControl w:val="0"/>
        <w:keepNext w:val="0"/>
        <w:keepLines w:val="0"/>
        <w:shd w:val="clear" w:color="auto" w:fill="auto"/>
        <w:bidi w:val="0"/>
        <w:jc w:val="left"/>
        <w:spacing w:before="0" w:after="0" w:line="260" w:lineRule="exact"/>
        <w:ind w:left="0" w:right="0" w:firstLine="0"/>
        <w:sectPr>
          <w:type w:val="continuous"/>
          <w:pgSz w:w="11906" w:h="16838"/>
          <w:pgMar w:top="1488" w:left="848" w:right="7856" w:bottom="859"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194"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sectPr>
      <w:type w:val="continuous"/>
      <w:pgSz w:w="11906" w:h="16838"/>
      <w:pgMar w:top="1488" w:left="8509" w:right="819" w:bottom="85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0"/>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val="0"/>
      <w:iCs w:val="0"/>
      <w:u w:val="none"/>
      <w:strike w:val="0"/>
      <w:smallCaps w:val="0"/>
      <w:sz w:val="21"/>
      <w:szCs w:val="21"/>
      <w:rFonts w:ascii="Times New Roman" w:eastAsia="Times New Roman" w:hAnsi="Times New Roman" w:cs="Times New Roman"/>
      <w:spacing w:val="3"/>
    </w:rPr>
  </w:style>
  <w:style w:type="character" w:customStyle="1" w:styleId="CharStyle6">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1"/>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10">
    <w:name w:val="Основной текст (2)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2) + Не полужирный"/>
    <w:basedOn w:val="CharStyle10"/>
    <w:rPr>
      <w:lang w:val="ru-RU" w:eastAsia="ru-RU" w:bidi="ru-RU"/>
      <w:b/>
      <w:bCs/>
      <w:w w:val="100"/>
      <w:spacing w:val="0"/>
      <w:color w:val="000000"/>
      <w:position w:val="0"/>
    </w:rPr>
  </w:style>
  <w:style w:type="character" w:customStyle="1" w:styleId="CharStyle12">
    <w:name w:val="Основной текст (3)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3) + Полужирный"/>
    <w:basedOn w:val="CharStyle12"/>
    <w:rPr>
      <w:lang w:val="ru-RU" w:eastAsia="ru-RU" w:bidi="ru-RU"/>
      <w:b/>
      <w:bCs/>
      <w:w w:val="100"/>
      <w:spacing w:val="0"/>
      <w:color w:val="000000"/>
      <w:position w:val="0"/>
    </w:rPr>
  </w:style>
  <w:style w:type="character" w:customStyle="1" w:styleId="CharStyle14">
    <w:name w:val="Основной текст (3)"/>
    <w:basedOn w:val="CharStyle12"/>
    <w:rPr>
      <w:lang w:val="ru-RU" w:eastAsia="ru-RU" w:bidi="ru-RU"/>
      <w:w w:val="100"/>
      <w:spacing w:val="0"/>
      <w:color w:val="000000"/>
      <w:position w:val="0"/>
    </w:rPr>
  </w:style>
  <w:style w:type="character" w:customStyle="1" w:styleId="CharStyle16">
    <w:name w:val="Основной текст (4)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Заголовок №1_"/>
    <w:basedOn w:val="DefaultParagraphFont"/>
    <w:link w:val="Style18"/>
    <w:rPr>
      <w:b/>
      <w:bCs/>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 + Полужирный"/>
    <w:basedOn w:val="CharStyle17"/>
    <w:rPr>
      <w:lang w:val="ru-RU" w:eastAsia="ru-RU" w:bidi="ru-RU"/>
      <w:b/>
      <w:bCs/>
      <w:w w:val="100"/>
      <w:spacing w:val="0"/>
      <w:color w:val="000000"/>
      <w:position w:val="0"/>
    </w:rPr>
  </w:style>
  <w:style w:type="character" w:customStyle="1" w:styleId="CharStyle21">
    <w:name w:val="Основной текст"/>
    <w:basedOn w:val="CharStyle17"/>
    <w:rPr>
      <w:lang w:val="ru-RU" w:eastAsia="ru-RU" w:bidi="ru-RU"/>
      <w:u w:val="single"/>
      <w:w w:val="100"/>
      <w:spacing w:val="0"/>
      <w:color w:val="000000"/>
      <w:position w:val="0"/>
    </w:rPr>
  </w:style>
  <w:style w:type="character" w:customStyle="1" w:styleId="CharStyle22">
    <w:name w:val="Основной текст"/>
    <w:basedOn w:val="CharStyle17"/>
    <w:rPr>
      <w:lang w:val="ru-RU" w:eastAsia="ru-RU" w:bidi="ru-RU"/>
      <w:w w:val="100"/>
      <w:spacing w:val="0"/>
      <w:color w:val="000000"/>
      <w:position w:val="0"/>
    </w:rPr>
  </w:style>
  <w:style w:type="character" w:customStyle="1" w:styleId="CharStyle23">
    <w:name w:val="Основной текст (4) + Не полужирный"/>
    <w:basedOn w:val="CharStyle16"/>
    <w:rPr>
      <w:lang w:val="ru-RU" w:eastAsia="ru-RU" w:bidi="ru-RU"/>
      <w:b/>
      <w:bCs/>
      <w:w w:val="100"/>
      <w:spacing w:val="0"/>
      <w:color w:val="000000"/>
      <w:position w:val="0"/>
    </w:rPr>
  </w:style>
  <w:style w:type="character" w:customStyle="1" w:styleId="CharStyle24">
    <w:name w:val="Основной текст (4)"/>
    <w:basedOn w:val="CharStyle16"/>
    <w:rPr>
      <w:lang w:val="ru-RU" w:eastAsia="ru-RU" w:bidi="ru-RU"/>
      <w:u w:val="single"/>
      <w:w w:val="100"/>
      <w:spacing w:val="0"/>
      <w:color w:val="000000"/>
      <w:position w:val="0"/>
    </w:rPr>
  </w:style>
  <w:style w:type="character" w:customStyle="1" w:styleId="CharStyle26">
    <w:name w:val="Основной текст (6)_"/>
    <w:basedOn w:val="DefaultParagraphFont"/>
    <w:link w:val="Style25"/>
    <w:rPr>
      <w:b/>
      <w:bCs/>
      <w:i w:val="0"/>
      <w:iCs w:val="0"/>
      <w:u w:val="none"/>
      <w:strike w:val="0"/>
      <w:smallCaps w:val="0"/>
      <w:rFonts w:ascii="Times New Roman" w:eastAsia="Times New Roman" w:hAnsi="Times New Roman" w:cs="Times New Roman"/>
      <w:spacing w:val="60"/>
    </w:rPr>
  </w:style>
  <w:style w:type="paragraph" w:customStyle="1" w:styleId="Style3">
    <w:name w:val="Основной текст (5)"/>
    <w:basedOn w:val="Normal"/>
    <w:link w:val="CharStyle4"/>
    <w:pPr>
      <w:widowControl w:val="0"/>
      <w:shd w:val="clear" w:color="auto" w:fill="FFFFFF"/>
      <w:jc w:val="center"/>
      <w:spacing w:after="180" w:line="322" w:lineRule="exact"/>
    </w:pPr>
    <w:rPr>
      <w:b/>
      <w:bCs/>
      <w:i w:val="0"/>
      <w:iCs w:val="0"/>
      <w:u w:val="none"/>
      <w:strike w:val="0"/>
      <w:smallCaps w:val="0"/>
      <w:sz w:val="21"/>
      <w:szCs w:val="21"/>
      <w:rFonts w:ascii="Times New Roman" w:eastAsia="Times New Roman" w:hAnsi="Times New Roman" w:cs="Times New Roman"/>
      <w:spacing w:val="3"/>
    </w:rPr>
  </w:style>
  <w:style w:type="paragraph" w:customStyle="1" w:styleId="Style5">
    <w:name w:val="Основной текст (3)"/>
    <w:basedOn w:val="Normal"/>
    <w:link w:val="CharStyle12"/>
    <w:pPr>
      <w:widowControl w:val="0"/>
      <w:shd w:val="clear" w:color="auto" w:fill="FFFFFF"/>
      <w:jc w:val="center"/>
      <w:spacing w:line="226" w:lineRule="exact"/>
      <w:ind w:hanging="1800"/>
    </w:pPr>
    <w:rPr>
      <w:b w:val="0"/>
      <w:bCs w:val="0"/>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w:basedOn w:val="Normal"/>
    <w:link w:val="CharStyle17"/>
    <w:pPr>
      <w:widowControl w:val="0"/>
      <w:shd w:val="clear" w:color="auto" w:fill="FFFFFF"/>
      <w:jc w:val="right"/>
      <w:spacing w:before="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before="300" w:line="226" w:lineRule="exact"/>
      <w:ind w:hanging="560"/>
    </w:pPr>
    <w:rPr>
      <w:b/>
      <w:bCs/>
      <w:i w:val="0"/>
      <w:iCs w:val="0"/>
      <w:u w:val="none"/>
      <w:strike w:val="0"/>
      <w:smallCaps w:val="0"/>
      <w:sz w:val="18"/>
      <w:szCs w:val="18"/>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before="300" w:after="300" w:line="307"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after="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spacing w:before="240" w:after="360" w:line="0" w:lineRule="exact"/>
    </w:pPr>
    <w:rPr>
      <w:b/>
      <w:bCs/>
      <w:i w:val="0"/>
      <w:iCs w:val="0"/>
      <w:u w:val="none"/>
      <w:strike w:val="0"/>
      <w:smallCaps w:val="0"/>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