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5060" w:right="0" w:firstLine="0"/>
      </w:pPr>
      <w:r>
        <w:rPr>
          <w:lang w:val="ru-RU" w:eastAsia="ru-RU" w:bidi="ru-RU"/>
          <w:sz w:val="24"/>
          <w:szCs w:val="24"/>
          <w:w w:val="100"/>
          <w:color w:val="000000"/>
          <w:position w:val="0"/>
        </w:rPr>
        <w:t>Заказчик:</w:t>
      </w:r>
    </w:p>
    <w:p>
      <w:pPr>
        <w:pStyle w:val="Style3"/>
        <w:widowControl w:val="0"/>
        <w:keepNext w:val="0"/>
        <w:keepLines w:val="0"/>
        <w:shd w:val="clear" w:color="auto" w:fill="auto"/>
        <w:bidi w:val="0"/>
        <w:jc w:val="left"/>
        <w:spacing w:before="0" w:after="296" w:line="322" w:lineRule="exact"/>
        <w:ind w:left="5060" w:right="320" w:firstLine="0"/>
      </w:pPr>
      <w:r>
        <w:rPr>
          <w:lang w:val="ru-RU" w:eastAsia="ru-RU" w:bidi="ru-RU"/>
          <w:sz w:val="24"/>
          <w:szCs w:val="24"/>
          <w:w w:val="100"/>
          <w:color w:val="000000"/>
          <w:position w:val="0"/>
        </w:rPr>
        <w:t>Государственное казенное учреждение «Управление строительства Ленинградской области»</w:t>
      </w:r>
    </w:p>
    <w:p>
      <w:pPr>
        <w:pStyle w:val="Style5"/>
        <w:widowControl w:val="0"/>
        <w:keepNext w:val="0"/>
        <w:keepLines w:val="0"/>
        <w:shd w:val="clear" w:color="auto" w:fill="auto"/>
        <w:bidi w:val="0"/>
        <w:jc w:val="left"/>
        <w:spacing w:before="0" w:after="369"/>
        <w:ind w:left="5060" w:right="320" w:firstLine="0"/>
      </w:pPr>
      <w:r>
        <w:rPr>
          <w:rStyle w:val="CharStyle7"/>
        </w:rPr>
        <w:t xml:space="preserve">ул. Некрасова, д. </w:t>
      </w:r>
      <w:r>
        <w:rPr>
          <w:lang w:val="ru-RU" w:eastAsia="ru-RU" w:bidi="ru-RU"/>
          <w:w w:val="100"/>
          <w:color w:val="000000"/>
          <w:position w:val="0"/>
        </w:rPr>
        <w:t xml:space="preserve">14 г. </w:t>
      </w:r>
      <w:r>
        <w:rPr>
          <w:rStyle w:val="CharStyle7"/>
        </w:rPr>
        <w:t xml:space="preserve">Санкт-Петербург, </w:t>
      </w:r>
      <w:r>
        <w:rPr>
          <w:lang w:val="ru-RU" w:eastAsia="ru-RU" w:bidi="ru-RU"/>
          <w:w w:val="100"/>
          <w:color w:val="000000"/>
          <w:position w:val="0"/>
        </w:rPr>
        <w:t xml:space="preserve">191104 Тел.:(812) 5798909 </w:t>
      </w:r>
      <w:r>
        <w:rPr>
          <w:lang w:val="en-US" w:eastAsia="en-US" w:bidi="en-US"/>
          <w:w w:val="100"/>
          <w:color w:val="000000"/>
          <w:position w:val="0"/>
        </w:rPr>
        <w:t xml:space="preserve">e-mail: </w:t>
      </w:r>
      <w:r>
        <w:fldChar w:fldCharType="begin"/>
      </w:r>
      <w:r>
        <w:rPr>
          <w:color w:val="000000"/>
        </w:rPr>
        <w:instrText> HYPERLINK "mailto:guuslo.lenobl@mail.ru" </w:instrText>
      </w:r>
      <w:r>
        <w:fldChar w:fldCharType="separate"/>
      </w:r>
      <w:r>
        <w:rPr>
          <w:rStyle w:val="Hyperlink"/>
          <w:lang w:val="en-US" w:eastAsia="en-US" w:bidi="en-US"/>
          <w:w w:val="100"/>
          <w:position w:val="0"/>
        </w:rPr>
        <w:t>guuslo.lenobl@mail.ru</w:t>
      </w:r>
      <w:r>
        <w:fldChar w:fldCharType="end"/>
      </w:r>
      <w:r>
        <w:rPr>
          <w:lang w:val="en-US" w:eastAsia="en-US" w:bidi="en-US"/>
          <w:w w:val="100"/>
          <w:color w:val="000000"/>
          <w:position w:val="0"/>
        </w:rPr>
        <w:t xml:space="preserve">, </w:t>
      </w:r>
      <w:r>
        <w:fldChar w:fldCharType="begin"/>
      </w:r>
      <w:r>
        <w:rPr>
          <w:color w:val="000000"/>
        </w:rPr>
        <w:instrText> HYPERLINK "mailto:uslo47@uandex.ru" </w:instrText>
      </w:r>
      <w:r>
        <w:fldChar w:fldCharType="separate"/>
      </w:r>
      <w:r>
        <w:rPr>
          <w:rStyle w:val="Hyperlink"/>
          <w:lang w:val="en-US" w:eastAsia="en-US" w:bidi="en-US"/>
          <w:w w:val="100"/>
          <w:position w:val="0"/>
        </w:rPr>
        <w:t>uslo47@uandex.ru</w:t>
      </w:r>
      <w:r>
        <w:fldChar w:fldCharType="end"/>
      </w:r>
    </w:p>
    <w:p>
      <w:pPr>
        <w:pStyle w:val="Style3"/>
        <w:widowControl w:val="0"/>
        <w:keepNext w:val="0"/>
        <w:keepLines w:val="0"/>
        <w:shd w:val="clear" w:color="auto" w:fill="auto"/>
        <w:bidi w:val="0"/>
        <w:jc w:val="left"/>
        <w:spacing w:before="0" w:after="17" w:line="240" w:lineRule="exact"/>
        <w:ind w:left="5060" w:right="0" w:firstLine="0"/>
      </w:pPr>
      <w:r>
        <w:rPr>
          <w:lang w:val="ru-RU" w:eastAsia="ru-RU" w:bidi="ru-RU"/>
          <w:sz w:val="24"/>
          <w:szCs w:val="24"/>
          <w:w w:val="100"/>
          <w:color w:val="000000"/>
          <w:position w:val="0"/>
        </w:rPr>
        <w:t>Уполномоченный орган:</w:t>
      </w:r>
    </w:p>
    <w:p>
      <w:pPr>
        <w:pStyle w:val="Style3"/>
        <w:widowControl w:val="0"/>
        <w:keepNext w:val="0"/>
        <w:keepLines w:val="0"/>
        <w:shd w:val="clear" w:color="auto" w:fill="auto"/>
        <w:bidi w:val="0"/>
        <w:jc w:val="left"/>
        <w:spacing w:before="0" w:after="0" w:line="240" w:lineRule="exact"/>
        <w:ind w:left="5060" w:right="0" w:firstLine="0"/>
      </w:pPr>
      <w:r>
        <w:rPr>
          <w:lang w:val="ru-RU" w:eastAsia="ru-RU" w:bidi="ru-RU"/>
          <w:sz w:val="24"/>
          <w:szCs w:val="24"/>
          <w:w w:val="100"/>
          <w:color w:val="000000"/>
          <w:position w:val="0"/>
        </w:rPr>
        <w:t>Комитет государственного заказа</w:t>
      </w:r>
    </w:p>
    <w:p>
      <w:pPr>
        <w:pStyle w:val="Style8"/>
        <w:tabs>
          <w:tab w:leader="none" w:pos="7882" w:val="right"/>
        </w:tabs>
        <w:widowControl w:val="0"/>
        <w:keepNext/>
        <w:keepLines/>
        <w:shd w:val="clear" w:color="auto" w:fill="auto"/>
        <w:bidi w:val="0"/>
        <w:spacing w:before="0" w:after="120" w:line="620" w:lineRule="exact"/>
        <w:ind w:left="0" w:right="0" w:firstLine="0"/>
      </w:pPr>
      <w:bookmarkStart w:id="0" w:name="bookmark0"/>
      <w:r>
        <w:rPr>
          <w:rStyle w:val="CharStyle10"/>
        </w:rPr>
        <w:t>0</w:t>
      </w:r>
      <w:r>
        <w:rPr>
          <w:lang w:val="ru-RU" w:eastAsia="ru-RU" w:bidi="ru-RU"/>
          <w:sz w:val="24"/>
          <w:szCs w:val="24"/>
          <w:w w:val="100"/>
          <w:color w:val="000000"/>
          <w:position w:val="0"/>
        </w:rPr>
        <w:t xml:space="preserve"> </w:t>
      </w:r>
      <w:r>
        <w:rPr>
          <w:rStyle w:val="CharStyle11"/>
        </w:rPr>
        <w:t xml:space="preserve">// </w:t>
      </w:r>
      <w:r>
        <w:rPr>
          <w:rStyle w:val="CharStyle10"/>
        </w:rPr>
        <w:t>Ш</w:t>
        <w:tab/>
      </w:r>
      <w:r>
        <w:rPr>
          <w:rStyle w:val="CharStyle12"/>
        </w:rPr>
        <w:t>У/оф?/</w:t>
      </w:r>
      <w:r>
        <w:rPr>
          <w:lang w:val="ru-RU" w:eastAsia="ru-RU" w:bidi="ru-RU"/>
          <w:vertAlign w:val="superscript"/>
          <w:sz w:val="24"/>
          <w:szCs w:val="24"/>
          <w:w w:val="100"/>
          <w:color w:val="000000"/>
          <w:position w:val="0"/>
        </w:rPr>
        <w:t>Ленинг</w:t>
      </w:r>
      <w:r>
        <w:rPr>
          <w:lang w:val="ru-RU" w:eastAsia="ru-RU" w:bidi="ru-RU"/>
          <w:sz w:val="24"/>
          <w:szCs w:val="24"/>
          <w:w w:val="100"/>
          <w:color w:val="000000"/>
          <w:position w:val="0"/>
        </w:rPr>
        <w:t>Р</w:t>
      </w:r>
      <w:r>
        <w:rPr>
          <w:lang w:val="ru-RU" w:eastAsia="ru-RU" w:bidi="ru-RU"/>
          <w:vertAlign w:val="superscript"/>
          <w:sz w:val="24"/>
          <w:szCs w:val="24"/>
          <w:w w:val="100"/>
          <w:color w:val="000000"/>
          <w:position w:val="0"/>
        </w:rPr>
        <w:t>а</w:t>
      </w:r>
      <w:r>
        <w:rPr>
          <w:lang w:val="ru-RU" w:eastAsia="ru-RU" w:bidi="ru-RU"/>
          <w:sz w:val="24"/>
          <w:szCs w:val="24"/>
          <w:w w:val="100"/>
          <w:color w:val="000000"/>
          <w:position w:val="0"/>
        </w:rPr>
        <w:t>«“</w:t>
      </w:r>
      <w:r>
        <w:rPr>
          <w:lang w:val="ru-RU" w:eastAsia="ru-RU" w:bidi="ru-RU"/>
          <w:vertAlign w:val="superscript"/>
          <w:sz w:val="24"/>
          <w:szCs w:val="24"/>
          <w:w w:val="100"/>
          <w:color w:val="000000"/>
          <w:position w:val="0"/>
        </w:rPr>
        <w:t xml:space="preserve">ой </w:t>
      </w:r>
      <w:r>
        <w:rPr>
          <w:rStyle w:val="CharStyle11"/>
          <w:vertAlign w:val="superscript"/>
        </w:rPr>
        <w:t>облас</w:t>
      </w:r>
      <w:r>
        <w:rPr>
          <w:rStyle w:val="CharStyle11"/>
        </w:rPr>
        <w:t>™</w:t>
      </w:r>
      <w:bookmarkEnd w:id="0"/>
    </w:p>
    <w:p>
      <w:pPr>
        <w:pStyle w:val="Style3"/>
        <w:widowControl w:val="0"/>
        <w:keepNext w:val="0"/>
        <w:keepLines w:val="0"/>
        <w:shd w:val="clear" w:color="auto" w:fill="auto"/>
        <w:bidi w:val="0"/>
        <w:jc w:val="left"/>
        <w:spacing w:before="0" w:after="362" w:line="317" w:lineRule="exact"/>
        <w:ind w:left="5060" w:right="320" w:firstLine="0"/>
      </w:pPr>
      <w:r>
        <w:rPr>
          <w:lang w:val="ru-RU" w:eastAsia="ru-RU" w:bidi="ru-RU"/>
          <w:sz w:val="24"/>
          <w:szCs w:val="24"/>
          <w:w w:val="100"/>
          <w:color w:val="000000"/>
          <w:position w:val="0"/>
        </w:rPr>
        <w:t xml:space="preserve">ул. Смольного, д. 3, литера А, г. Санкт-Петербург, 191124 тел.: (812) 4563736, (812) 4563736 </w:t>
      </w:r>
      <w:r>
        <w:rPr>
          <w:lang w:val="en-US" w:eastAsia="en-US" w:bidi="en-US"/>
          <w:sz w:val="24"/>
          <w:szCs w:val="24"/>
          <w:w w:val="10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position w:val="0"/>
        </w:rPr>
        <w:t>konkurs@lenreg.ru</w:t>
      </w:r>
      <w:r>
        <w:fldChar w:fldCharType="end"/>
      </w:r>
    </w:p>
    <w:p>
      <w:pPr>
        <w:pStyle w:val="Style3"/>
        <w:widowControl w:val="0"/>
        <w:keepNext w:val="0"/>
        <w:keepLines w:val="0"/>
        <w:shd w:val="clear" w:color="auto" w:fill="auto"/>
        <w:bidi w:val="0"/>
        <w:jc w:val="left"/>
        <w:spacing w:before="0" w:after="22" w:line="240" w:lineRule="exact"/>
        <w:ind w:left="5060" w:right="0" w:firstLine="0"/>
      </w:pPr>
      <w:r>
        <w:rPr>
          <w:lang w:val="ru-RU" w:eastAsia="ru-RU" w:bidi="ru-RU"/>
          <w:sz w:val="24"/>
          <w:szCs w:val="24"/>
          <w:w w:val="100"/>
          <w:color w:val="000000"/>
          <w:position w:val="0"/>
        </w:rPr>
        <w:t>Заявитель:</w:t>
      </w:r>
    </w:p>
    <w:p>
      <w:pPr>
        <w:pStyle w:val="Style3"/>
        <w:widowControl w:val="0"/>
        <w:keepNext w:val="0"/>
        <w:keepLines w:val="0"/>
        <w:shd w:val="clear" w:color="auto" w:fill="auto"/>
        <w:bidi w:val="0"/>
        <w:jc w:val="left"/>
        <w:spacing w:before="0" w:after="312" w:line="240" w:lineRule="exact"/>
        <w:ind w:left="5060" w:right="0" w:firstLine="0"/>
      </w:pPr>
      <w:r>
        <w:rPr>
          <w:lang w:val="ru-RU" w:eastAsia="ru-RU" w:bidi="ru-RU"/>
          <w:sz w:val="24"/>
          <w:szCs w:val="24"/>
          <w:w w:val="100"/>
          <w:color w:val="000000"/>
          <w:position w:val="0"/>
        </w:rPr>
        <w:t>ООО «Институт «НОВГОРОДПРОЕКТ»</w:t>
      </w:r>
    </w:p>
    <w:p>
      <w:pPr>
        <w:pStyle w:val="Style3"/>
        <w:widowControl w:val="0"/>
        <w:keepNext w:val="0"/>
        <w:keepLines w:val="0"/>
        <w:shd w:val="clear" w:color="auto" w:fill="auto"/>
        <w:bidi w:val="0"/>
        <w:jc w:val="left"/>
        <w:spacing w:before="0" w:after="365" w:line="322" w:lineRule="exact"/>
        <w:ind w:left="5060" w:right="320" w:firstLine="0"/>
      </w:pPr>
      <w:r>
        <w:rPr>
          <w:lang w:val="ru-RU" w:eastAsia="ru-RU" w:bidi="ru-RU"/>
          <w:sz w:val="24"/>
          <w:szCs w:val="24"/>
          <w:w w:val="100"/>
          <w:color w:val="000000"/>
          <w:position w:val="0"/>
        </w:rPr>
        <w:t xml:space="preserve">ул. Прусская, д. 22, г. Великий Новгород, 173015 тел.: (321) 7054612 </w:t>
      </w:r>
      <w:r>
        <w:rPr>
          <w:lang w:val="en-US" w:eastAsia="en-US" w:bidi="en-US"/>
          <w:sz w:val="24"/>
          <w:szCs w:val="24"/>
          <w:w w:val="100"/>
          <w:color w:val="000000"/>
          <w:position w:val="0"/>
        </w:rPr>
        <w:t xml:space="preserve">e-mail: </w:t>
      </w:r>
      <w:r>
        <w:fldChar w:fldCharType="begin"/>
      </w:r>
      <w:r>
        <w:rPr>
          <w:color w:val="000000"/>
        </w:rPr>
        <w:instrText> HYPERLINK "mailto:sga@np53.ru" </w:instrText>
      </w:r>
      <w:r>
        <w:fldChar w:fldCharType="separate"/>
      </w:r>
      <w:r>
        <w:rPr>
          <w:rStyle w:val="Hyperlink"/>
          <w:lang w:val="en-US" w:eastAsia="en-US" w:bidi="en-US"/>
          <w:sz w:val="24"/>
          <w:szCs w:val="24"/>
          <w:w w:val="100"/>
          <w:position w:val="0"/>
        </w:rPr>
        <w:t>sga@np53.ru</w:t>
      </w:r>
      <w:r>
        <w:fldChar w:fldCharType="end"/>
      </w:r>
    </w:p>
    <w:p>
      <w:pPr>
        <w:pStyle w:val="Style3"/>
        <w:widowControl w:val="0"/>
        <w:keepNext w:val="0"/>
        <w:keepLines w:val="0"/>
        <w:shd w:val="clear" w:color="auto" w:fill="auto"/>
        <w:bidi w:val="0"/>
        <w:jc w:val="left"/>
        <w:spacing w:before="0" w:after="316" w:line="240" w:lineRule="exact"/>
        <w:ind w:left="5060" w:right="0" w:firstLine="0"/>
      </w:pPr>
      <w:r>
        <w:rPr>
          <w:lang w:val="ru-RU" w:eastAsia="ru-RU" w:bidi="ru-RU"/>
          <w:sz w:val="24"/>
          <w:szCs w:val="24"/>
          <w:w w:val="100"/>
          <w:color w:val="000000"/>
          <w:position w:val="0"/>
        </w:rPr>
        <w:t>извещение № 0145200000417001813</w:t>
      </w:r>
    </w:p>
    <w:p>
      <w:pPr>
        <w:pStyle w:val="Style3"/>
        <w:widowControl w:val="0"/>
        <w:keepNext w:val="0"/>
        <w:keepLines w:val="0"/>
        <w:shd w:val="clear" w:color="auto" w:fill="auto"/>
        <w:bidi w:val="0"/>
        <w:jc w:val="center"/>
        <w:spacing w:before="0" w:after="362" w:line="317" w:lineRule="exact"/>
        <w:ind w:left="100" w:right="0" w:firstLine="0"/>
      </w:pPr>
      <w:r>
        <w:rPr>
          <w:lang w:val="ru-RU" w:eastAsia="ru-RU" w:bidi="ru-RU"/>
          <w:sz w:val="24"/>
          <w:szCs w:val="24"/>
          <w:w w:val="100"/>
          <w:color w:val="000000"/>
          <w:position w:val="0"/>
        </w:rPr>
        <w:t>РЕШЕНИЕ Комиссии Ленинградского У ФАС России по контролю в сфере закупок по делу № 135</w:t>
      </w:r>
      <w:r>
        <w:rPr>
          <w:lang w:val="en-US" w:eastAsia="en-US" w:bidi="en-US"/>
          <w:sz w:val="24"/>
          <w:szCs w:val="24"/>
          <w:w w:val="100"/>
          <w:color w:val="000000"/>
          <w:position w:val="0"/>
        </w:rPr>
        <w:t>1-03-9988-P3/1</w:t>
      </w:r>
      <w:r>
        <w:rPr>
          <w:lang w:val="ru-RU" w:eastAsia="ru-RU" w:bidi="ru-RU"/>
          <w:sz w:val="24"/>
          <w:szCs w:val="24"/>
          <w:w w:val="100"/>
          <w:color w:val="000000"/>
          <w:position w:val="0"/>
        </w:rPr>
        <w:t>7</w:t>
      </w:r>
    </w:p>
    <w:p>
      <w:pPr>
        <w:pStyle w:val="Style3"/>
        <w:tabs>
          <w:tab w:leader="none" w:pos="8476" w:val="center"/>
        </w:tabs>
        <w:widowControl w:val="0"/>
        <w:keepNext w:val="0"/>
        <w:keepLines w:val="0"/>
        <w:shd w:val="clear" w:color="auto" w:fill="auto"/>
        <w:bidi w:val="0"/>
        <w:jc w:val="both"/>
        <w:spacing w:before="0" w:after="325" w:line="240" w:lineRule="exact"/>
        <w:ind w:left="220" w:right="0" w:firstLine="0"/>
      </w:pPr>
      <w:r>
        <w:rPr>
          <w:lang w:val="ru-RU" w:eastAsia="ru-RU" w:bidi="ru-RU"/>
          <w:sz w:val="24"/>
          <w:szCs w:val="24"/>
          <w:w w:val="100"/>
          <w:color w:val="000000"/>
          <w:position w:val="0"/>
        </w:rPr>
        <w:t>03 ноября 2017 года</w:t>
        <w:tab/>
        <w:t>Санкт-Петербург</w:t>
      </w:r>
    </w:p>
    <w:p>
      <w:pPr>
        <w:pStyle w:val="Style3"/>
        <w:widowControl w:val="0"/>
        <w:keepNext w:val="0"/>
        <w:keepLines w:val="0"/>
        <w:shd w:val="clear" w:color="auto" w:fill="auto"/>
        <w:bidi w:val="0"/>
        <w:jc w:val="left"/>
        <w:spacing w:before="0" w:after="0" w:line="317" w:lineRule="exact"/>
        <w:ind w:left="220" w:right="320" w:firstLine="700"/>
      </w:pPr>
      <w:r>
        <w:rPr>
          <w:lang w:val="ru-RU" w:eastAsia="ru-RU" w:bidi="ru-RU"/>
          <w:sz w:val="24"/>
          <w:szCs w:val="24"/>
          <w:w w:val="100"/>
          <w:color w:val="000000"/>
          <w:position w:val="0"/>
        </w:rPr>
        <w:t>Комиссия Ленинградского У 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17" w:lineRule="exact"/>
        <w:ind w:left="220" w:right="320" w:firstLine="700"/>
      </w:pPr>
      <w:r>
        <w:rPr>
          <w:lang w:val="ru-RU" w:eastAsia="ru-RU" w:bidi="ru-RU"/>
          <w:sz w:val="24"/>
          <w:szCs w:val="24"/>
          <w:w w:val="100"/>
          <w:color w:val="000000"/>
          <w:position w:val="0"/>
        </w:rPr>
        <w:t>Журавлева Алексея Александровича - заместителя руководителя, председателя Комиссии,</w:t>
      </w:r>
    </w:p>
    <w:p>
      <w:pPr>
        <w:pStyle w:val="Style3"/>
        <w:widowControl w:val="0"/>
        <w:keepNext w:val="0"/>
        <w:keepLines w:val="0"/>
        <w:shd w:val="clear" w:color="auto" w:fill="auto"/>
        <w:bidi w:val="0"/>
        <w:jc w:val="left"/>
        <w:spacing w:before="0" w:after="0" w:line="317" w:lineRule="exact"/>
        <w:ind w:left="220" w:right="320" w:firstLine="700"/>
      </w:pPr>
      <w:r>
        <w:rPr>
          <w:lang w:val="ru-RU" w:eastAsia="ru-RU" w:bidi="ru-RU"/>
          <w:sz w:val="24"/>
          <w:szCs w:val="24"/>
          <w:w w:val="100"/>
          <w:color w:val="000000"/>
          <w:position w:val="0"/>
        </w:rPr>
        <w:t>Хрущ Виктории Дановны - врио начальника отдела контроля закупок, члена Комиссии,</w:t>
      </w:r>
    </w:p>
    <w:p>
      <w:pPr>
        <w:pStyle w:val="Style3"/>
        <w:widowControl w:val="0"/>
        <w:keepNext w:val="0"/>
        <w:keepLines w:val="0"/>
        <w:shd w:val="clear" w:color="auto" w:fill="auto"/>
        <w:bidi w:val="0"/>
        <w:jc w:val="left"/>
        <w:spacing w:before="0" w:after="0" w:line="317" w:lineRule="exact"/>
        <w:ind w:left="220" w:right="320" w:firstLine="700"/>
      </w:pPr>
      <w:r>
        <w:rPr>
          <w:lang w:val="ru-RU" w:eastAsia="ru-RU" w:bidi="ru-RU"/>
          <w:sz w:val="24"/>
          <w:szCs w:val="24"/>
          <w:w w:val="100"/>
          <w:color w:val="000000"/>
          <w:position w:val="0"/>
        </w:rPr>
        <w:t xml:space="preserve">Пашедко Анны Дмитриевны - главного специалиста-эксперта отдела </w:t>
      </w:r>
      <w:r>
        <w:rPr>
          <w:rStyle w:val="CharStyle13"/>
        </w:rPr>
        <w:t>контроля закупок, члена Комиссии,</w:t>
      </w:r>
    </w:p>
    <w:p>
      <w:pPr>
        <w:pStyle w:val="Style3"/>
        <w:widowControl w:val="0"/>
        <w:keepNext w:val="0"/>
        <w:keepLines w:val="0"/>
        <w:shd w:val="clear" w:color="auto" w:fill="auto"/>
        <w:bidi w:val="0"/>
        <w:jc w:val="left"/>
        <w:spacing w:before="0" w:after="266" w:line="240" w:lineRule="exact"/>
        <w:ind w:left="220" w:right="0" w:firstLine="700"/>
      </w:pPr>
      <w:r>
        <w:rPr>
          <w:lang w:val="ru-RU" w:eastAsia="ru-RU" w:bidi="ru-RU"/>
          <w:sz w:val="24"/>
          <w:szCs w:val="24"/>
          <w:w w:val="100"/>
          <w:color w:val="000000"/>
          <w:position w:val="0"/>
        </w:rPr>
        <w:t>с участием в заседании представителей по доверенностям:</w:t>
      </w:r>
    </w:p>
    <w:p>
      <w:pPr>
        <w:pStyle w:val="Style14"/>
        <w:widowControl w:val="0"/>
        <w:keepNext/>
        <w:keepLines/>
        <w:shd w:val="clear" w:color="auto" w:fill="auto"/>
        <w:bidi w:val="0"/>
        <w:spacing w:before="0" w:after="0" w:line="300" w:lineRule="exact"/>
        <w:ind w:left="0" w:right="480" w:firstLine="0"/>
      </w:pPr>
      <w:bookmarkStart w:id="1" w:name="bookmark1"/>
      <w:r>
        <w:rPr>
          <w:lang w:val="ru-RU" w:eastAsia="ru-RU" w:bidi="ru-RU"/>
          <w:w w:val="100"/>
          <w:color w:val="000000"/>
          <w:position w:val="0"/>
        </w:rPr>
        <w:t>О 7 8 8 91</w:t>
      </w:r>
      <w:bookmarkEnd w:id="1"/>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Государственного казенного учреждения «Управление строительства </w:t>
      </w:r>
      <w:r>
        <w:rPr>
          <w:rStyle w:val="CharStyle16"/>
        </w:rPr>
        <w:t xml:space="preserve">Ленинградской области» (далее - Заказчик): Супрунчука Даниила Сергеевича, </w:t>
      </w:r>
      <w:r>
        <w:rPr>
          <w:lang w:val="ru-RU" w:eastAsia="ru-RU" w:bidi="ru-RU"/>
          <w:sz w:val="24"/>
          <w:szCs w:val="24"/>
          <w:w w:val="100"/>
          <w:color w:val="000000"/>
          <w:position w:val="0"/>
        </w:rPr>
        <w:t>Меньшова Владимира Анатольевича,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Комитета государственного заказа Ленинградской области (далее - Уполномоченный орган): Гуляевой Людмилы Гарифулловны,</w:t>
      </w:r>
    </w:p>
    <w:p>
      <w:pPr>
        <w:pStyle w:val="Style17"/>
        <w:tabs>
          <w:tab w:leader="none" w:pos="6773" w:val="left"/>
        </w:tabs>
        <w:widowControl w:val="0"/>
        <w:keepNext w:val="0"/>
        <w:keepLines w:val="0"/>
        <w:shd w:val="clear" w:color="auto" w:fill="auto"/>
        <w:bidi w:val="0"/>
        <w:spacing w:before="0" w:after="0"/>
        <w:ind w:left="20" w:right="0" w:firstLine="700"/>
      </w:pPr>
      <w:r>
        <w:rPr>
          <w:lang w:val="ru-RU" w:eastAsia="ru-RU" w:bidi="ru-RU"/>
          <w:w w:val="100"/>
          <w:color w:val="000000"/>
          <w:position w:val="0"/>
        </w:rPr>
        <w:t>ООО «Центр Деловой Сертификации»:</w:t>
        <w:tab/>
        <w:t>Овчинникова Семена</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sz w:val="24"/>
          <w:szCs w:val="24"/>
          <w:w w:val="100"/>
          <w:color w:val="000000"/>
          <w:position w:val="0"/>
        </w:rPr>
        <w:t>Александровича,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отсутствие представителей ООО «Институт «НОВГОРОДПРОЕКТ» (далее - Заявитель, Общество),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65" w:line="322" w:lineRule="exact"/>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center"/>
        <w:spacing w:before="0" w:after="311" w:line="240" w:lineRule="exact"/>
        <w:ind w:left="0" w:right="0" w:firstLine="0"/>
      </w:pPr>
      <w:r>
        <w:rPr>
          <w:lang w:val="ru-RU" w:eastAsia="ru-RU" w:bidi="ru-RU"/>
          <w:sz w:val="24"/>
          <w:szCs w:val="24"/>
          <w:w w:val="10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 9988 от 27.10.2017) на действия заказчика, уполномоченного органа при проведении открытого конкурса на право заключения контракта на проектирование строительства муниципального общеобразовательного учреждения на 450 мест в д. Малое Карлино Ломоносовского района (далее — конкурс).</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Извещение о проведении открытого конкурса, конкурсная документация размещены Уполномоченным органом 24.10.2017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12 784 810,00 рублей.</w:t>
      </w:r>
    </w:p>
    <w:p>
      <w:pPr>
        <w:pStyle w:val="Style3"/>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Источник финансирования - Областной бюджет Ленинградской области. Из доводов жалобы Общества следует, что конкурсная документация составлена с нарушениями законодательства в части требований по подтверждению нестоимостного критерия оценки «Деловая репутация». Более</w:t>
      </w:r>
    </w:p>
    <w:p>
      <w:pPr>
        <w:pStyle w:val="Style3"/>
        <w:widowControl w:val="0"/>
        <w:keepNext w:val="0"/>
        <w:keepLines w:val="0"/>
        <w:shd w:val="clear" w:color="auto" w:fill="auto"/>
        <w:bidi w:val="0"/>
        <w:jc w:val="both"/>
        <w:spacing w:before="0" w:after="0" w:line="346" w:lineRule="exact"/>
        <w:ind w:left="20" w:right="20" w:firstLine="0"/>
      </w:pPr>
      <w:r>
        <w:rPr>
          <w:lang w:val="ru-RU" w:eastAsia="ru-RU" w:bidi="ru-RU"/>
          <w:sz w:val="24"/>
          <w:szCs w:val="24"/>
          <w:w w:val="100"/>
          <w:color w:val="000000"/>
          <w:position w:val="0"/>
        </w:rPr>
        <w:t>подробно позиция Заявителя изложена в жалобе, файл с которой размещен на официальном сайте.</w:t>
      </w:r>
    </w:p>
    <w:p>
      <w:pPr>
        <w:pStyle w:val="Style3"/>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color w:val="000000"/>
          <w:position w:val="0"/>
        </w:rPr>
        <w:t>Представители Заказчика, Уполномоченного органа возражали против доводов жалобы, просили признать ее необоснованной. Заказчик также представил письменные возражения по доводам жалобы.</w:t>
      </w:r>
    </w:p>
    <w:p>
      <w:pPr>
        <w:pStyle w:val="Style3"/>
        <w:widowControl w:val="0"/>
        <w:keepNext w:val="0"/>
        <w:keepLines w:val="0"/>
        <w:shd w:val="clear" w:color="auto" w:fill="auto"/>
        <w:bidi w:val="0"/>
        <w:jc w:val="both"/>
        <w:spacing w:before="0" w:after="0" w:line="326" w:lineRule="exact"/>
        <w:ind w:left="20" w:right="0" w:firstLine="700"/>
      </w:pPr>
      <w:r>
        <w:rPr>
          <w:lang w:val="ru-RU" w:eastAsia="ru-RU" w:bidi="ru-RU"/>
          <w:sz w:val="24"/>
          <w:szCs w:val="24"/>
          <w:w w:val="10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line="317" w:lineRule="exact"/>
        <w:ind w:left="20" w:right="20" w:firstLine="700"/>
      </w:pPr>
      <w:r>
        <w:rPr>
          <w:rStyle w:val="CharStyle16"/>
        </w:rPr>
        <w:t xml:space="preserve">Рассмотрев представленные документы, заслушав доводы представителей </w:t>
      </w:r>
      <w:r>
        <w:rPr>
          <w:lang w:val="ru-RU" w:eastAsia="ru-RU" w:bidi="ru-RU"/>
          <w:sz w:val="24"/>
          <w:szCs w:val="24"/>
          <w:w w:val="100"/>
          <w:color w:val="000000"/>
          <w:position w:val="0"/>
        </w:rPr>
        <w:t>Заказчика, Уполномоченного органа, Комиссия пришла к следующим выводам.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w:t>
      </w:r>
      <w:r>
        <w:rPr>
          <w:rStyle w:val="CharStyle16"/>
        </w:rPr>
        <w:t xml:space="preserve">кодекса Российской Федерации и состоит из Закона о контрактной системе и </w:t>
      </w:r>
      <w:r>
        <w:rPr>
          <w:lang w:val="ru-RU" w:eastAsia="ru-RU" w:bidi="ru-RU"/>
          <w:sz w:val="24"/>
          <w:szCs w:val="24"/>
          <w:w w:val="100"/>
          <w:color w:val="000000"/>
          <w:position w:val="0"/>
        </w:rPr>
        <w:t>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2 рассматриваемой статьи определено,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части 1 статьи 48 Закона о контрактной системе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9"/>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В соответствии с пунктом 4 Правил для оценки заявок (предложений) заказчик устанавливает в документации о закупке следующие критерии оценки: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а) стоимостные критерии оценки, в том числе цена контракта;</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б) нестоимостные критерии оценки:</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10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Кроме того, пунктом 11 правил установлено, что для оценки заявок (предложений) по каждому критерию оценки используется 100-бальная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определения. 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«опыт участника по успешной поставке товара, выполнению работ, оказанию услуг сопоставимого характера и объема» критерия «квалификация участника закупки», за исключением случая, предусмотренного пунктом 30 Правил. При этом значимость показателя должна составлять не менее 50 процентов значимости всех нестоимостных критериев оценки.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В соответствии с пунктом 29 Правил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w:t>
      </w:r>
      <w:r>
        <w:rPr>
          <w:rStyle w:val="CharStyle16"/>
        </w:rPr>
        <w:t>коэффициента значимости показателя.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Иными словами, при представлении определенных сведений участникам закупки и конкурсной комиссии должно быть четко понятно, за какие сведения и какие баллы ими будут присвоены по установленным показателям.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пункту 3 Правил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Учитывая вышеприведенное, порядок оценки, в целях выявления лучшего условия исполнения контракта, документация о закупке должен включать в себя:</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 закупки в своих заявках для получения оценки по нестоимостным критериям;</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(показателям критерия;</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(показателям критерия), учитывая, что в отношении сведений, представляемых по указанному критерию возможна количественная оценка;</w:t>
      </w:r>
    </w:p>
    <w:p>
      <w:pPr>
        <w:pStyle w:val="Style3"/>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инструкцию по заполнению заявки, позволяющую определить какие именно сведения подлежат описанию и предоставлению участниками закупки для оценки конкурсной комиссией.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пункту 13.8 Раздела II конкурной документации при оценке заявок применяются следующие критерии:</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Цена контракта. Значимость критерия - 60%;</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 по показателю: Деловая репутация участника закупки. Значимость критерия - 40%.</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13.11. определен порядок оценки заявок по нестоимостным критериям оценки.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Оценка заявок (предложений)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участника закупки»).</w:t>
      </w:r>
    </w:p>
    <w:p>
      <w:pPr>
        <w:pStyle w:val="Style3"/>
        <w:widowControl w:val="0"/>
        <w:keepNext w:val="0"/>
        <w:keepLines w:val="0"/>
        <w:shd w:val="clear" w:color="auto" w:fill="auto"/>
        <w:bidi w:val="0"/>
        <w:jc w:val="both"/>
        <w:spacing w:before="0" w:after="46" w:line="240" w:lineRule="exact"/>
        <w:ind w:left="20" w:right="0" w:firstLine="700"/>
      </w:pPr>
      <w:r>
        <w:rPr>
          <w:lang w:val="ru-RU" w:eastAsia="ru-RU" w:bidi="ru-RU"/>
          <w:sz w:val="24"/>
          <w:szCs w:val="24"/>
          <w:w w:val="100"/>
          <w:color w:val="000000"/>
          <w:position w:val="0"/>
        </w:rPr>
        <w:t>Значимость критерия: 40%</w:t>
      </w:r>
    </w:p>
    <w:p>
      <w:pPr>
        <w:pStyle w:val="Style21"/>
        <w:widowControl w:val="0"/>
        <w:keepNext/>
        <w:keepLines/>
        <w:shd w:val="clear" w:color="auto" w:fill="auto"/>
        <w:bidi w:val="0"/>
        <w:spacing w:before="0" w:after="0" w:line="240" w:lineRule="exact"/>
        <w:ind w:left="20" w:right="0"/>
      </w:pPr>
      <w:bookmarkStart w:id="2" w:name="bookmark2"/>
      <w:r>
        <w:rPr>
          <w:lang w:val="ru-RU" w:eastAsia="ru-RU" w:bidi="ru-RU"/>
          <w:sz w:val="24"/>
          <w:szCs w:val="24"/>
          <w:w w:val="100"/>
          <w:spacing w:val="0"/>
          <w:color w:val="000000"/>
          <w:position w:val="0"/>
        </w:rPr>
        <w:t>Коэффициент значимости критерия оценки - 0,4.</w:t>
      </w:r>
      <w:bookmarkEnd w:id="2"/>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color w:val="000000"/>
          <w:position w:val="0"/>
        </w:rPr>
        <w:t>В качестве показателя нестоимостного критерия оценки «квалификация участника закупки» установлен показатель: «Деловая репутация участника закупки».</w:t>
      </w:r>
    </w:p>
    <w:p>
      <w:pPr>
        <w:pStyle w:val="Style3"/>
        <w:widowControl w:val="0"/>
        <w:keepNext w:val="0"/>
        <w:keepLines w:val="0"/>
        <w:shd w:val="clear" w:color="auto" w:fill="auto"/>
        <w:bidi w:val="0"/>
        <w:jc w:val="both"/>
        <w:spacing w:before="0" w:after="0" w:line="302" w:lineRule="exact"/>
        <w:ind w:left="20" w:right="0" w:firstLine="700"/>
      </w:pPr>
      <w:r>
        <w:rPr>
          <w:lang w:val="ru-RU" w:eastAsia="ru-RU" w:bidi="ru-RU"/>
          <w:sz w:val="24"/>
          <w:szCs w:val="24"/>
          <w:w w:val="100"/>
          <w:color w:val="000000"/>
          <w:position w:val="0"/>
        </w:rPr>
        <w:t>Значимость показателя - 100%.</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Деловая репутация участника закупки определяется индексом деловой репутации в соответствии с требованиями ГОСТ Р 66.0.01-2015 «Оценка опыта и деловой репутации субъектов предпринимательской деятельности. Национальная система стандартов. Общие положения, требования и руководящие принципы» и требованиями Стандарта организации Ассоциации аккредитованных лиц в области оценки соответствия Северо-западного Федерального округа СТО </w:t>
      </w:r>
      <w:r>
        <w:rPr>
          <w:lang w:val="en-US" w:eastAsia="en-US" w:bidi="en-US"/>
          <w:sz w:val="24"/>
          <w:szCs w:val="24"/>
          <w:w w:val="100"/>
          <w:color w:val="000000"/>
          <w:position w:val="0"/>
        </w:rPr>
        <w:t xml:space="preserve">AAJIC3 </w:t>
      </w:r>
      <w:r>
        <w:rPr>
          <w:lang w:val="ru-RU" w:eastAsia="ru-RU" w:bidi="ru-RU"/>
          <w:sz w:val="24"/>
          <w:szCs w:val="24"/>
          <w:w w:val="100"/>
          <w:color w:val="000000"/>
          <w:position w:val="0"/>
        </w:rPr>
        <w:t>66.1.05/С-2017 «Оценка опыта и деловой репутации лиц, осуществляющих архитектурно-строительное проектирование социально значимых объектов» (далее - СТО).</w:t>
      </w:r>
    </w:p>
    <w:p>
      <w:pPr>
        <w:pStyle w:val="Style3"/>
        <w:widowControl w:val="0"/>
        <w:keepNext w:val="0"/>
        <w:keepLines w:val="0"/>
        <w:shd w:val="clear" w:color="auto" w:fill="auto"/>
        <w:bidi w:val="0"/>
        <w:jc w:val="both"/>
        <w:spacing w:before="0" w:after="176" w:line="322" w:lineRule="exact"/>
        <w:ind w:left="20" w:right="20" w:firstLine="700"/>
      </w:pPr>
      <w:r>
        <w:rPr>
          <w:lang w:val="ru-RU" w:eastAsia="ru-RU" w:bidi="ru-RU"/>
          <w:sz w:val="24"/>
          <w:szCs w:val="24"/>
          <w:w w:val="100"/>
          <w:color w:val="000000"/>
          <w:position w:val="0"/>
        </w:rPr>
        <w:t>При оценке заявки участника закупки по показателю учитывается значение индекса деловой репутации, указанное в сертификате соответствия и оценивается в соответствии со шкалой:</w:t>
      </w:r>
    </w:p>
    <w:tbl>
      <w:tblPr>
        <w:tblOverlap w:val="never"/>
        <w:tblLayout w:type="fixed"/>
        <w:jc w:val="center"/>
      </w:tblPr>
      <w:tblGrid>
        <w:gridCol w:w="4392"/>
        <w:gridCol w:w="5261"/>
      </w:tblGrid>
      <w:tr>
        <w:trPr>
          <w:trHeight w:val="667"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3"/>
              </w:rPr>
              <w:t>Значение индекса деловой репутации</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22" w:lineRule="exact"/>
              <w:ind w:left="0" w:right="0" w:firstLine="0"/>
            </w:pPr>
            <w:r>
              <w:rPr>
                <w:rStyle w:val="CharStyle23"/>
              </w:rPr>
              <w:t>Количество баллов по показателю деловая репутация участника закупки</w:t>
            </w:r>
          </w:p>
        </w:tc>
      </w:tr>
      <w:tr>
        <w:trPr>
          <w:trHeight w:val="346" w:hRule="exact"/>
        </w:trPr>
        <w:tc>
          <w:tcPr>
            <w:shd w:val="clear" w:color="auto" w:fill="FFFFFF"/>
            <w:tcBorders>
              <w:left w:val="single" w:sz="4"/>
              <w:top w:val="single" w:sz="4"/>
            </w:tcBorders>
            <w:vAlign w:val="center"/>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от 80 и выше</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100</w:t>
            </w:r>
          </w:p>
        </w:tc>
      </w:tr>
      <w:tr>
        <w:trPr>
          <w:trHeight w:val="322"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от 70 менее 80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50</w:t>
            </w:r>
          </w:p>
        </w:tc>
      </w:tr>
      <w:tr>
        <w:trPr>
          <w:trHeight w:val="341"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от 60 менее 70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25</w:t>
            </w:r>
          </w:p>
        </w:tc>
      </w:tr>
      <w:tr>
        <w:trPr>
          <w:trHeight w:val="341" w:hRule="exact"/>
        </w:trPr>
        <w:tc>
          <w:tcPr>
            <w:shd w:val="clear" w:color="auto" w:fill="FFFFFF"/>
            <w:tcBorders>
              <w:lef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от 50 менее 60</w:t>
            </w:r>
          </w:p>
        </w:tc>
        <w:tc>
          <w:tcPr>
            <w:shd w:val="clear" w:color="auto" w:fill="FFFFFF"/>
            <w:tcBorders>
              <w:left w:val="single" w:sz="4"/>
              <w:right w:val="single" w:sz="4"/>
              <w:top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12,5</w:t>
            </w:r>
          </w:p>
        </w:tc>
      </w:tr>
      <w:tr>
        <w:trPr>
          <w:trHeight w:val="667" w:hRule="exact"/>
        </w:trPr>
        <w:tc>
          <w:tcPr>
            <w:shd w:val="clear" w:color="auto" w:fill="FFFFFF"/>
            <w:tcBorders>
              <w:left w:val="single" w:sz="4"/>
              <w:top w:val="single" w:sz="4"/>
              <w:bottom w:val="single" w:sz="4"/>
            </w:tcBorders>
            <w:vAlign w:val="bottom"/>
          </w:tcPr>
          <w:p>
            <w:pPr>
              <w:pStyle w:val="Style3"/>
              <w:framePr w:w="9653" w:wrap="notBeside" w:vAnchor="text" w:hAnchor="text" w:xAlign="center" w:y="1"/>
              <w:widowControl w:val="0"/>
              <w:keepNext w:val="0"/>
              <w:keepLines w:val="0"/>
              <w:shd w:val="clear" w:color="auto" w:fill="auto"/>
              <w:bidi w:val="0"/>
              <w:jc w:val="center"/>
              <w:spacing w:before="0" w:after="0" w:line="317" w:lineRule="exact"/>
              <w:ind w:left="0" w:right="0" w:firstLine="0"/>
            </w:pPr>
            <w:r>
              <w:rPr>
                <w:rStyle w:val="CharStyle23"/>
              </w:rPr>
              <w:t>Ниже 50 (либо отсутствие сертификата)</w:t>
            </w:r>
          </w:p>
        </w:tc>
        <w:tc>
          <w:tcPr>
            <w:shd w:val="clear" w:color="auto" w:fill="FFFFFF"/>
            <w:tcBorders>
              <w:left w:val="single" w:sz="4"/>
              <w:right w:val="single" w:sz="4"/>
              <w:top w:val="single" w:sz="4"/>
              <w:bottom w:val="single" w:sz="4"/>
            </w:tcBorders>
            <w:vAlign w:val="center"/>
          </w:tcPr>
          <w:p>
            <w:pPr>
              <w:pStyle w:val="Style3"/>
              <w:framePr w:w="9653"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23"/>
              </w:rPr>
              <w:t>0</w:t>
            </w:r>
          </w:p>
        </w:tc>
      </w:tr>
    </w:tbl>
    <w:p>
      <w:pPr>
        <w:widowControl w:val="0"/>
        <w:rPr>
          <w:sz w:val="2"/>
          <w:szCs w:val="2"/>
        </w:rPr>
      </w:pPr>
    </w:p>
    <w:p>
      <w:pPr>
        <w:pStyle w:val="Style3"/>
        <w:widowControl w:val="0"/>
        <w:keepNext w:val="0"/>
        <w:keepLines w:val="0"/>
        <w:shd w:val="clear" w:color="auto" w:fill="auto"/>
        <w:bidi w:val="0"/>
        <w:jc w:val="both"/>
        <w:spacing w:before="174" w:after="0" w:line="317" w:lineRule="exact"/>
        <w:ind w:left="20" w:right="20" w:firstLine="700"/>
      </w:pPr>
      <w:r>
        <w:rPr>
          <w:lang w:val="ru-RU" w:eastAsia="ru-RU" w:bidi="ru-RU"/>
          <w:sz w:val="24"/>
          <w:szCs w:val="24"/>
          <w:w w:val="100"/>
          <w:color w:val="000000"/>
          <w:position w:val="0"/>
        </w:rPr>
        <w:t>Индекс деловой репутации участника закупки подтверждается предоставлением копии сертификата со всеми приложениями, выданного в соответствии с требованиями ГОСТ Р 66.0.01-2015 и требованиями СТО. Индекс деловой репутации должен быть актуальным на дату подачи заявки на участие в конкурсе.</w:t>
      </w:r>
    </w:p>
    <w:p>
      <w:pPr>
        <w:pStyle w:val="Style3"/>
        <w:tabs>
          <w:tab w:leader="none" w:pos="2924" w:val="left"/>
          <w:tab w:leader="none" w:pos="4206" w:val="left"/>
          <w:tab w:leader="none" w:pos="5857" w:val="left"/>
          <w:tab w:leader="none" w:pos="7503" w:val="right"/>
          <w:tab w:leader="none" w:pos="9649"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Сертификат соответствия должен быть выдан лицом, допущенным в систему добровольной сертификации,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(Федеральный закон от 27.12.2002 </w:t>
      </w:r>
      <w:r>
        <w:rPr>
          <w:lang w:val="en-US" w:eastAsia="en-US" w:bidi="en-US"/>
          <w:sz w:val="24"/>
          <w:szCs w:val="24"/>
          <w:w w:val="100"/>
          <w:color w:val="000000"/>
          <w:position w:val="0"/>
        </w:rPr>
        <w:t xml:space="preserve">N </w:t>
      </w:r>
      <w:r>
        <w:rPr>
          <w:lang w:val="ru-RU" w:eastAsia="ru-RU" w:bidi="ru-RU"/>
          <w:sz w:val="24"/>
          <w:szCs w:val="24"/>
          <w:w w:val="100"/>
          <w:color w:val="000000"/>
          <w:position w:val="0"/>
        </w:rPr>
        <w:t>184-ФЗ «О техническом регулировании»). Сведения о системе добровольной сертификации должны содержаться в едином реестре зарегистрированных систем добровольной сертификации, расположенном</w:t>
        <w:tab/>
        <w:t>на</w:t>
        <w:tab/>
        <w:t>сайте</w:t>
        <w:tab/>
        <w:t>в</w:t>
        <w:tab/>
        <w:t>сети</w:t>
        <w:tab/>
        <w:t>Интернет</w:t>
      </w:r>
    </w:p>
    <w:p>
      <w:pPr>
        <w:pStyle w:val="Style3"/>
        <w:widowControl w:val="0"/>
        <w:keepNext w:val="0"/>
        <w:keepLines w:val="0"/>
        <w:shd w:val="clear" w:color="auto" w:fill="auto"/>
        <w:bidi w:val="0"/>
        <w:jc w:val="both"/>
        <w:spacing w:before="0" w:after="0" w:line="317" w:lineRule="exact"/>
        <w:ind w:left="20" w:right="20" w:firstLine="0"/>
      </w:pPr>
      <w:r>
        <w:rPr>
          <w:lang w:val="en-US" w:eastAsia="en-US" w:bidi="en-US"/>
          <w:sz w:val="24"/>
          <w:szCs w:val="24"/>
          <w:w w:val="100"/>
          <w:color w:val="000000"/>
          <w:position w:val="0"/>
        </w:rPr>
        <w:t>(</w:t>
      </w:r>
      <w:r>
        <w:fldChar w:fldCharType="begin"/>
      </w:r>
      <w:r>
        <w:rPr>
          <w:color w:val="000000"/>
        </w:rPr>
        <w:instrText> HYPERLINK "http://www.gost.ru/wps/portal/pages/directions/confirmation/voluntaryvalidation" </w:instrText>
      </w:r>
      <w:r>
        <w:fldChar w:fldCharType="separate"/>
      </w:r>
      <w:r>
        <w:rPr>
          <w:rStyle w:val="Hyperlink"/>
          <w:lang w:val="en-US" w:eastAsia="en-US" w:bidi="en-US"/>
          <w:sz w:val="24"/>
          <w:szCs w:val="24"/>
          <w:w w:val="100"/>
          <w:position w:val="0"/>
        </w:rPr>
        <w:t>http://www.gost.ru/wps/portal/pages/directions/confirmation/voluntaryvalidation</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Лицо, допущенное в систему добровольной сертификации, должно иметь свидетельство о допуске к проведению работ по подтверждению соответствия в установленном СТО порядке, о чем должна содержаться запись в реестре лиц, допущенных к проведению работ по подтверждению соответствия,</w:t>
      </w:r>
    </w:p>
    <w:p>
      <w:pPr>
        <w:pStyle w:val="Style17"/>
        <w:widowControl w:val="0"/>
        <w:keepNext w:val="0"/>
        <w:keepLines w:val="0"/>
        <w:shd w:val="clear" w:color="auto" w:fill="auto"/>
        <w:bidi w:val="0"/>
        <w:jc w:val="left"/>
        <w:spacing w:before="0" w:after="0" w:line="230" w:lineRule="exact"/>
        <w:ind w:left="20" w:right="0" w:firstLine="0"/>
      </w:pPr>
      <w:r>
        <w:rPr>
          <w:lang w:val="ru-RU" w:eastAsia="ru-RU" w:bidi="ru-RU"/>
          <w:w w:val="100"/>
          <w:color w:val="000000"/>
          <w:position w:val="0"/>
        </w:rPr>
        <w:t xml:space="preserve">расположенном на сайте в сети Интернет </w:t>
      </w:r>
      <w:r>
        <w:rPr>
          <w:lang w:val="en-US" w:eastAsia="en-US" w:bidi="en-US"/>
          <w:w w:val="100"/>
          <w:color w:val="000000"/>
          <w:position w:val="0"/>
        </w:rPr>
        <w:t>(</w:t>
      </w:r>
      <w:r>
        <w:fldChar w:fldCharType="begin"/>
      </w:r>
      <w:r>
        <w:rPr>
          <w:color w:val="000000"/>
        </w:rPr>
        <w:instrText> HYPERLINK "http://souzal.ru/standarti/" </w:instrText>
      </w:r>
      <w:r>
        <w:fldChar w:fldCharType="separate"/>
      </w:r>
      <w:r>
        <w:rPr>
          <w:rStyle w:val="Hyperlink"/>
          <w:lang w:val="en-US" w:eastAsia="en-US" w:bidi="en-US"/>
          <w:w w:val="100"/>
          <w:position w:val="0"/>
        </w:rPr>
        <w:t>http://souzal.ru/standarti/</w:t>
      </w:r>
      <w:r>
        <w:fldChar w:fldCharType="end"/>
      </w:r>
      <w:r>
        <w:rPr>
          <w:lang w:val="en-US" w:eastAsia="en-US" w:bidi="en-US"/>
          <w:w w:val="100"/>
          <w:color w:val="000000"/>
          <w:position w:val="0"/>
        </w:rPr>
        <w:t>).</w:t>
      </w:r>
    </w:p>
    <w:p>
      <w:pPr>
        <w:pStyle w:val="Style3"/>
        <w:widowControl w:val="0"/>
        <w:keepNext w:val="0"/>
        <w:keepLines w:val="0"/>
        <w:shd w:val="clear" w:color="auto" w:fill="auto"/>
        <w:bidi w:val="0"/>
        <w:jc w:val="both"/>
        <w:spacing w:before="0" w:after="0" w:line="322" w:lineRule="exact"/>
        <w:ind w:left="20" w:right="20" w:firstLine="700"/>
      </w:pPr>
      <w:r>
        <w:rPr>
          <w:rStyle w:val="CharStyle16"/>
        </w:rPr>
        <w:t xml:space="preserve">Сертификат должен быть выдан в результате оценки деловой репутации </w:t>
      </w:r>
      <w:r>
        <w:rPr>
          <w:lang w:val="ru-RU" w:eastAsia="ru-RU" w:bidi="ru-RU"/>
          <w:sz w:val="24"/>
          <w:szCs w:val="24"/>
          <w:w w:val="100"/>
          <w:color w:val="000000"/>
          <w:position w:val="0"/>
        </w:rPr>
        <w:t>участника закупки по следующему виду работ в соответствии с Общероссийским классификатором видов экономической деятельности ОК 029-2014 (КДЕС ред.2):</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71.11.1 - «Деятельность в области архитектуры, связанная с созданием архитектурного объекта».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отсутствии у участника закупки деловой репутации, выраженной индексом деловой репутации организации, рассчитанным по требованиям ГОСТ Р 66.0.01-2015 и требованиями СТО, заявке участника закупки по данному показателю присваивается 0 баллов.</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случае несоответствия, разночтения сведений в представленных документах при определении количества баллов по данному показателю, такие сведения не учитываются.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Отсутствие документов, подтверждающих квалификацию участников закупки, не является основанием для отклонения заявки участника.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Для получения рейтинга заявки по данному показателю количество баллов, присуждаемых </w:t>
      </w:r>
      <w:r>
        <w:rPr>
          <w:lang w:val="en-US" w:eastAsia="en-US" w:bidi="en-US"/>
          <w:sz w:val="24"/>
          <w:szCs w:val="24"/>
          <w:w w:val="100"/>
          <w:color w:val="000000"/>
          <w:position w:val="0"/>
        </w:rPr>
        <w:t>i</w:t>
      </w:r>
      <w:r>
        <w:rPr>
          <w:lang w:val="ru-RU" w:eastAsia="ru-RU" w:bidi="ru-RU"/>
          <w:sz w:val="24"/>
          <w:szCs w:val="24"/>
          <w:w w:val="100"/>
          <w:color w:val="000000"/>
          <w:position w:val="0"/>
        </w:rPr>
        <w:t>-й заявке по указанному показателю, умножается на коэффициент значимости.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На основании результатов оценки и сопоставления заявок (предложений) конкурсной комиссией каждой заявке (предложению) относительно других по мере уменьшения степени выгодности содержащихся в них условий исполнения контракта присваивается порядковый номер. Заявке (предложению), в которой содержатся лучшие условия исполнения контракта, выраженные в баллах, присваивается первый номер. В случае, если в нескольких заявках (предложениях) на участие в закупке содержатся одинаковые условия исполнения контракта, меньший порядковый номер присваивается заявке (предложению), которая поступила ранее других, содержащих такие условия.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Победителем закупки признается участник закупки, который предложил лучшие условия исполнения контракта на основе критериев, указанных в конкурсной документации, и заявке (предложению) на участие в закупке, которого присвоен первый номер.</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Заявитель полагает, что указанные показатели нестоимостного критерия оценки не соответствуют нормам статьи 32 Закона о контрактной системе, поскольку приводят к ограничению конкуренции.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Между тем, Комиссия, проанализировав спорные положения конкурсной документации, усматривает, что приведенная позиция Заявителя ей не соответствует. В рассматриваемом случае представление участниками сертификата индекса деловой репутации является не требованием к участию, а критерием оценки заявки. В случае непредставления сертификата заявке участника присваивается 0 баллов по данному показателю.</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данных обстоятельствах доводы жалобы Заявителя не нашли своего подтверждения.</w:t>
      </w:r>
    </w:p>
    <w:p>
      <w:pPr>
        <w:pStyle w:val="Style3"/>
        <w:widowControl w:val="0"/>
        <w:keepNext w:val="0"/>
        <w:keepLines w:val="0"/>
        <w:shd w:val="clear" w:color="auto" w:fill="auto"/>
        <w:bidi w:val="0"/>
        <w:jc w:val="left"/>
        <w:spacing w:before="0" w:after="0" w:line="365" w:lineRule="exact"/>
        <w:ind w:left="0" w:right="280" w:firstLine="700"/>
      </w:pPr>
      <w:r>
        <w:rPr>
          <w:lang w:val="ru-RU" w:eastAsia="ru-RU" w:bidi="ru-RU"/>
          <w:sz w:val="24"/>
          <w:szCs w:val="24"/>
          <w:w w:val="100"/>
          <w:color w:val="000000"/>
          <w:position w:val="0"/>
        </w:rPr>
        <w:t>На основании изложенного и руководствуясь частью 8 статьи 106 Закона о контрактной системе, Комиссия</w:t>
      </w:r>
    </w:p>
    <w:p>
      <w:pPr>
        <w:pStyle w:val="Style24"/>
        <w:widowControl w:val="0"/>
        <w:keepNext w:val="0"/>
        <w:keepLines w:val="0"/>
        <w:shd w:val="clear" w:color="auto" w:fill="auto"/>
        <w:bidi w:val="0"/>
        <w:spacing w:before="0" w:after="340"/>
        <w:ind w:left="260" w:right="0" w:firstLine="0"/>
      </w:pPr>
      <w:r>
        <w:rPr>
          <w:lang w:val="ru-RU" w:eastAsia="ru-RU" w:bidi="ru-RU"/>
          <w:sz w:val="24"/>
          <w:szCs w:val="24"/>
          <w:w w:val="100"/>
          <w:color w:val="000000"/>
          <w:position w:val="0"/>
        </w:rPr>
        <w:t>РЕШИЛА:</w:t>
      </w:r>
    </w:p>
    <w:p>
      <w:pPr>
        <w:pStyle w:val="Style3"/>
        <w:widowControl w:val="0"/>
        <w:keepNext w:val="0"/>
        <w:keepLines w:val="0"/>
        <w:shd w:val="clear" w:color="auto" w:fill="auto"/>
        <w:bidi w:val="0"/>
        <w:jc w:val="center"/>
        <w:spacing w:before="0" w:after="342" w:line="240" w:lineRule="exact"/>
        <w:ind w:left="260" w:right="0" w:firstLine="0"/>
      </w:pPr>
      <w:r>
        <w:rPr>
          <w:lang w:val="ru-RU" w:eastAsia="ru-RU" w:bidi="ru-RU"/>
          <w:sz w:val="24"/>
          <w:szCs w:val="24"/>
          <w:w w:val="100"/>
          <w:color w:val="000000"/>
          <w:position w:val="0"/>
        </w:rPr>
        <w:t>Признать жалобу ООО «Институт «НОВГОРОДПРОЕКТ» необоснованной.</w:t>
      </w:r>
    </w:p>
    <w:p>
      <w:pPr>
        <w:pStyle w:val="Style26"/>
        <w:widowControl w:val="0"/>
        <w:keepNext w:val="0"/>
        <w:keepLines w:val="0"/>
        <w:shd w:val="clear" w:color="auto" w:fill="auto"/>
        <w:bidi w:val="0"/>
        <w:jc w:val="left"/>
        <w:spacing w:before="0" w:after="98"/>
        <w:ind w:left="0" w:right="280"/>
      </w:pPr>
      <w:r>
        <w:rPr>
          <w:lang w:val="ru-RU" w:eastAsia="ru-RU" w:bidi="ru-RU"/>
          <w:w w:val="100"/>
          <w:spacing w:val="0"/>
          <w:color w:val="000000"/>
          <w:position w:val="0"/>
        </w:rPr>
        <w:t xml:space="preserve">Настоящее решение может быть обжаловано в судебном порядке в </w:t>
      </w:r>
      <w:r>
        <w:rPr>
          <w:rStyle w:val="CharStyle28"/>
          <w:i/>
          <w:iCs/>
        </w:rPr>
        <w:t xml:space="preserve">течение трех </w:t>
      </w:r>
      <w:r>
        <w:rPr>
          <w:lang w:val="ru-RU" w:eastAsia="ru-RU" w:bidi="ru-RU"/>
          <w:w w:val="100"/>
          <w:spacing w:val="0"/>
          <w:color w:val="000000"/>
          <w:position w:val="0"/>
        </w:rPr>
        <w:t xml:space="preserve">месяцев со </w:t>
      </w:r>
      <w:r>
        <w:rPr>
          <w:rStyle w:val="CharStyle28"/>
          <w:i/>
          <w:iCs/>
        </w:rPr>
        <w:t>дня принятия.</w:t>
      </w:r>
    </w:p>
    <w:p>
      <w:pPr>
        <w:pStyle w:val="Style29"/>
        <w:widowControl w:val="0"/>
        <w:keepNext w:val="0"/>
        <w:keepLines w:val="0"/>
        <w:shd w:val="clear" w:color="auto" w:fill="auto"/>
        <w:bidi w:val="0"/>
        <w:jc w:val="left"/>
        <w:spacing w:before="0" w:after="0" w:line="260" w:lineRule="exact"/>
        <w:ind w:left="6300" w:right="0" w:firstLine="0"/>
      </w:pPr>
      <w:r>
        <w:rPr>
          <w:rStyle w:val="CharStyle31"/>
          <w:i/>
          <w:iCs/>
        </w:rPr>
        <w:t xml:space="preserve">■ </w:t>
      </w:r>
      <w:r>
        <w:rPr>
          <w:lang w:val="ru-RU" w:eastAsia="ru-RU" w:bidi="ru-RU"/>
          <w:w w:val="100"/>
          <w:spacing w:val="0"/>
          <w:color w:val="000000"/>
          <w:position w:val="0"/>
        </w:rPr>
        <w:t xml:space="preserve">\ </w:t>
      </w:r>
      <w:r>
        <w:rPr>
          <w:lang w:val="en-US" w:eastAsia="en-US" w:bidi="en-US"/>
          <w:w w:val="100"/>
          <w:spacing w:val="0"/>
          <w:color w:val="000000"/>
          <w:position w:val="0"/>
        </w:rPr>
        <w:t>h</w:t>
      </w:r>
      <w:r>
        <w:rPr>
          <w:rStyle w:val="CharStyle32"/>
          <w:i w:val="0"/>
          <w:iCs w:val="0"/>
        </w:rPr>
        <w:t xml:space="preserve"> </w:t>
      </w:r>
      <w:r>
        <w:rPr>
          <w:rStyle w:val="CharStyle33"/>
          <w:i w:val="0"/>
          <w:iCs w:val="0"/>
        </w:rPr>
        <w:t xml:space="preserve">I </w:t>
      </w:r>
      <w:r>
        <w:rPr>
          <w:rStyle w:val="CharStyle32"/>
          <w:lang w:val="ru-RU" w:eastAsia="ru-RU" w:bidi="ru-RU"/>
          <w:i w:val="0"/>
          <w:iCs w:val="0"/>
        </w:rPr>
        <w:t>I</w:t>
      </w:r>
    </w:p>
    <w:p>
      <w:pPr>
        <w:pStyle w:val="Style24"/>
        <w:tabs>
          <w:tab w:leader="none" w:pos="9432" w:val="right"/>
        </w:tabs>
        <w:widowControl w:val="0"/>
        <w:keepNext w:val="0"/>
        <w:keepLines w:val="0"/>
        <w:shd w:val="clear" w:color="auto" w:fill="auto"/>
        <w:bidi w:val="0"/>
        <w:jc w:val="both"/>
        <w:spacing w:before="0" w:after="468" w:line="240" w:lineRule="exact"/>
        <w:ind w:left="0" w:right="0" w:firstLine="0"/>
      </w:pPr>
      <w:r>
        <w:rPr>
          <w:lang w:val="ru-RU" w:eastAsia="ru-RU" w:bidi="ru-RU"/>
          <w:sz w:val="24"/>
          <w:szCs w:val="24"/>
          <w:w w:val="100"/>
          <w:color w:val="000000"/>
          <w:position w:val="0"/>
        </w:rPr>
        <w:t>Председатель Комиссии</w:t>
        <w:tab/>
        <w:t>А.А. Журавлев</w:t>
      </w:r>
    </w:p>
    <w:p>
      <w:pPr>
        <w:pStyle w:val="Style34"/>
        <w:widowControl w:val="0"/>
        <w:keepNext/>
        <w:keepLines/>
        <w:shd w:val="clear" w:color="auto" w:fill="auto"/>
        <w:bidi w:val="0"/>
        <w:jc w:val="left"/>
        <w:spacing w:before="0" w:after="0" w:line="360" w:lineRule="exact"/>
        <w:ind w:left="6160" w:right="0" w:firstLine="0"/>
      </w:pPr>
      <w:bookmarkStart w:id="3" w:name="bookmark3"/>
      <w:r>
        <w:rPr>
          <w:lang w:val="ru-RU" w:eastAsia="ru-RU" w:bidi="ru-RU"/>
          <w:w w:val="100"/>
          <w:spacing w:val="0"/>
          <w:color w:val="000000"/>
          <w:position w:val="0"/>
        </w:rPr>
        <w:t>А я</w:t>
      </w:r>
      <w:bookmarkEnd w:id="3"/>
    </w:p>
    <w:p>
      <w:pPr>
        <w:pStyle w:val="Style24"/>
        <w:tabs>
          <w:tab w:leader="none" w:pos="8923" w:val="right"/>
        </w:tabs>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color w:val="000000"/>
          <w:position w:val="0"/>
        </w:rPr>
        <w:t>Члены Комиссии</w:t>
        <w:tab/>
        <w:t>В.Д. Хрущ</w:t>
      </w:r>
    </w:p>
    <w:sectPr>
      <w:footnotePr>
        <w:pos w:val="pageBottom"/>
        <w:numFmt w:val="decimal"/>
        <w:numRestart w:val="continuous"/>
      </w:footnotePr>
      <w:type w:val="continuous"/>
      <w:pgSz w:w="11906" w:h="16838"/>
      <w:pgMar w:top="853" w:left="898" w:right="831" w:bottom="6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6">
    <w:name w:val="Основной текст (2)_"/>
    <w:basedOn w:val="DefaultParagraphFont"/>
    <w:link w:val="Style5"/>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7">
    <w:name w:val="Основной текст (2) + 12 pt"/>
    <w:basedOn w:val="CharStyle6"/>
    <w:rPr>
      <w:lang w:val="ru-RU" w:eastAsia="ru-RU" w:bidi="ru-RU"/>
      <w:sz w:val="24"/>
      <w:szCs w:val="24"/>
      <w:w w:val="100"/>
      <w:color w:val="000000"/>
      <w:position w:val="0"/>
    </w:rPr>
  </w:style>
  <w:style w:type="character" w:customStyle="1" w:styleId="CharStyle9">
    <w:name w:val="Заголовок №1_"/>
    <w:basedOn w:val="DefaultParagraphFont"/>
    <w:link w:val="Style8"/>
    <w:rPr>
      <w:b w:val="0"/>
      <w:bCs w:val="0"/>
      <w:i w:val="0"/>
      <w:iCs w:val="0"/>
      <w:u w:val="none"/>
      <w:strike w:val="0"/>
      <w:smallCaps w:val="0"/>
      <w:rFonts w:ascii="Segoe UI" w:eastAsia="Segoe UI" w:hAnsi="Segoe UI" w:cs="Segoe UI"/>
      <w:spacing w:val="-10"/>
    </w:rPr>
  </w:style>
  <w:style w:type="character" w:customStyle="1" w:styleId="CharStyle10">
    <w:name w:val="Заголовок №1 + Bookman Old Style,22 pt,Курсив,Интервал 0 pt"/>
    <w:basedOn w:val="CharStyle9"/>
    <w:rPr>
      <w:lang w:val="ru-RU" w:eastAsia="ru-RU" w:bidi="ru-RU"/>
      <w:i/>
      <w:iCs/>
      <w:sz w:val="44"/>
      <w:szCs w:val="44"/>
      <w:rFonts w:ascii="Bookman Old Style" w:eastAsia="Bookman Old Style" w:hAnsi="Bookman Old Style" w:cs="Bookman Old Style"/>
      <w:w w:val="100"/>
      <w:spacing w:val="0"/>
      <w:color w:val="000000"/>
      <w:position w:val="0"/>
    </w:rPr>
  </w:style>
  <w:style w:type="character" w:customStyle="1" w:styleId="CharStyle11">
    <w:name w:val="Заголовок №1 + Times New Roman,15 pt,Интервал 0 pt"/>
    <w:basedOn w:val="CharStyle9"/>
    <w:rPr>
      <w:lang w:val="ru-RU" w:eastAsia="ru-RU" w:bidi="ru-RU"/>
      <w:sz w:val="30"/>
      <w:szCs w:val="30"/>
      <w:rFonts w:ascii="Times New Roman" w:eastAsia="Times New Roman" w:hAnsi="Times New Roman" w:cs="Times New Roman"/>
      <w:w w:val="100"/>
      <w:spacing w:val="0"/>
      <w:color w:val="000000"/>
      <w:position w:val="0"/>
    </w:rPr>
  </w:style>
  <w:style w:type="character" w:customStyle="1" w:styleId="CharStyle12">
    <w:name w:val="Заголовок №1 + Bookman Old Style,31 pt,Полужирный,Курсив,Интервал -4 pt"/>
    <w:basedOn w:val="CharStyle9"/>
    <w:rPr>
      <w:lang w:val="ru-RU" w:eastAsia="ru-RU" w:bidi="ru-RU"/>
      <w:b/>
      <w:bCs/>
      <w:i/>
      <w:iCs/>
      <w:sz w:val="62"/>
      <w:szCs w:val="62"/>
      <w:rFonts w:ascii="Bookman Old Style" w:eastAsia="Bookman Old Style" w:hAnsi="Bookman Old Style" w:cs="Bookman Old Style"/>
      <w:w w:val="100"/>
      <w:spacing w:val="-90"/>
      <w:color w:val="000000"/>
      <w:position w:val="0"/>
    </w:rPr>
  </w:style>
  <w:style w:type="character" w:customStyle="1" w:styleId="CharStyle13">
    <w:name w:val="Основной текст + 11,5 pt"/>
    <w:basedOn w:val="CharStyle4"/>
    <w:rPr>
      <w:lang w:val="ru-RU" w:eastAsia="ru-RU" w:bidi="ru-RU"/>
      <w:sz w:val="23"/>
      <w:szCs w:val="23"/>
      <w:w w:val="100"/>
      <w:color w:val="000000"/>
      <w:position w:val="0"/>
    </w:rPr>
  </w:style>
  <w:style w:type="character" w:customStyle="1" w:styleId="CharStyle15">
    <w:name w:val="Заголовок №2_"/>
    <w:basedOn w:val="DefaultParagraphFont"/>
    <w:link w:val="Style14"/>
    <w:rPr>
      <w:b w:val="0"/>
      <w:bCs w:val="0"/>
      <w:i w:val="0"/>
      <w:iCs w:val="0"/>
      <w:u w:val="none"/>
      <w:strike w:val="0"/>
      <w:smallCaps w:val="0"/>
      <w:sz w:val="30"/>
      <w:szCs w:val="30"/>
      <w:rFonts w:ascii="Times New Roman" w:eastAsia="Times New Roman" w:hAnsi="Times New Roman" w:cs="Times New Roman"/>
      <w:spacing w:val="70"/>
    </w:rPr>
  </w:style>
  <w:style w:type="character" w:customStyle="1" w:styleId="CharStyle16">
    <w:name w:val="Основной текст + Интервал 0 pt"/>
    <w:basedOn w:val="CharStyle4"/>
    <w:rPr>
      <w:lang w:val="ru-RU" w:eastAsia="ru-RU" w:bidi="ru-RU"/>
      <w:sz w:val="24"/>
      <w:szCs w:val="24"/>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0">
    <w:name w:val="Основной текст (4)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Заголовок №4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w:basedOn w:val="CharStyle4"/>
    <w:rPr>
      <w:lang w:val="ru-RU" w:eastAsia="ru-RU" w:bidi="ru-RU"/>
      <w:sz w:val="24"/>
      <w:szCs w:val="24"/>
      <w:w w:val="10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rFonts w:ascii="Times New Roman" w:eastAsia="Times New Roman" w:hAnsi="Times New Roman" w:cs="Times New Roman"/>
      <w:spacing w:val="10"/>
    </w:rPr>
  </w:style>
  <w:style w:type="character" w:customStyle="1" w:styleId="CharStyle27">
    <w:name w:val="Основной текст (6)_"/>
    <w:basedOn w:val="DefaultParagraphFont"/>
    <w:link w:val="Style26"/>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6) + 12 pt"/>
    <w:basedOn w:val="CharStyle27"/>
    <w:rPr>
      <w:lang w:val="ru-RU" w:eastAsia="ru-RU" w:bidi="ru-RU"/>
      <w:sz w:val="24"/>
      <w:szCs w:val="24"/>
      <w:w w:val="100"/>
      <w:spacing w:val="0"/>
      <w:color w:val="000000"/>
      <w:position w:val="0"/>
    </w:rPr>
  </w:style>
  <w:style w:type="character" w:customStyle="1" w:styleId="CharStyle30">
    <w:name w:val="Основной текст (7)_"/>
    <w:basedOn w:val="DefaultParagraphFont"/>
    <w:link w:val="Style29"/>
    <w:rPr>
      <w:b w:val="0"/>
      <w:bCs w:val="0"/>
      <w:i/>
      <w:iCs/>
      <w:u w:val="none"/>
      <w:strike w:val="0"/>
      <w:smallCaps w:val="0"/>
      <w:sz w:val="8"/>
      <w:szCs w:val="8"/>
      <w:rFonts w:ascii="Bookman Old Style" w:eastAsia="Bookman Old Style" w:hAnsi="Bookman Old Style" w:cs="Bookman Old Style"/>
    </w:rPr>
  </w:style>
  <w:style w:type="character" w:customStyle="1" w:styleId="CharStyle31">
    <w:name w:val="Основной текст (7) + Times New Roman"/>
    <w:basedOn w:val="CharStyle30"/>
    <w:rPr>
      <w:lang w:val="ru-RU" w:eastAsia="ru-RU" w:bidi="ru-RU"/>
      <w:rFonts w:ascii="Times New Roman" w:eastAsia="Times New Roman" w:hAnsi="Times New Roman" w:cs="Times New Roman"/>
      <w:w w:val="100"/>
      <w:spacing w:val="0"/>
      <w:color w:val="000000"/>
      <w:position w:val="0"/>
    </w:rPr>
  </w:style>
  <w:style w:type="character" w:customStyle="1" w:styleId="CharStyle32">
    <w:name w:val="Основной текст (7) + Times New Roman,13 pt,Не курсив"/>
    <w:basedOn w:val="CharStyle30"/>
    <w:rPr>
      <w:lang w:val="en-US" w:eastAsia="en-US" w:bidi="en-US"/>
      <w:i/>
      <w:iCs/>
      <w:sz w:val="26"/>
      <w:szCs w:val="26"/>
      <w:rFonts w:ascii="Times New Roman" w:eastAsia="Times New Roman" w:hAnsi="Times New Roman" w:cs="Times New Roman"/>
      <w:w w:val="100"/>
      <w:spacing w:val="0"/>
      <w:color w:val="000000"/>
      <w:position w:val="0"/>
    </w:rPr>
  </w:style>
  <w:style w:type="character" w:customStyle="1" w:styleId="CharStyle33">
    <w:name w:val="Основной текст (7) + 4,5 pt,Не курсив"/>
    <w:basedOn w:val="CharStyle30"/>
    <w:rPr>
      <w:lang w:val="en-US" w:eastAsia="en-US" w:bidi="en-US"/>
      <w:i/>
      <w:iCs/>
      <w:sz w:val="9"/>
      <w:szCs w:val="9"/>
      <w:w w:val="100"/>
      <w:spacing w:val="0"/>
      <w:color w:val="000000"/>
      <w:position w:val="0"/>
    </w:rPr>
  </w:style>
  <w:style w:type="character" w:customStyle="1" w:styleId="CharStyle35">
    <w:name w:val="Заголовок №3_"/>
    <w:basedOn w:val="DefaultParagraphFont"/>
    <w:link w:val="Style34"/>
    <w:rPr>
      <w:b w:val="0"/>
      <w:bCs w:val="0"/>
      <w:i/>
      <w:iCs/>
      <w:u w:val="none"/>
      <w:strike w:val="0"/>
      <w:smallCaps w:val="0"/>
      <w:sz w:val="36"/>
      <w:szCs w:val="3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spacing w:before="300" w:after="300" w:line="326"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8">
    <w:name w:val="Заголовок №1"/>
    <w:basedOn w:val="Normal"/>
    <w:link w:val="CharStyle9"/>
    <w:pPr>
      <w:widowControl w:val="0"/>
      <w:shd w:val="clear" w:color="auto" w:fill="FFFFFF"/>
      <w:jc w:val="both"/>
      <w:outlineLvl w:val="0"/>
      <w:spacing w:after="300" w:line="0" w:lineRule="exact"/>
    </w:pPr>
    <w:rPr>
      <w:b w:val="0"/>
      <w:bCs w:val="0"/>
      <w:i w:val="0"/>
      <w:iCs w:val="0"/>
      <w:u w:val="none"/>
      <w:strike w:val="0"/>
      <w:smallCaps w:val="0"/>
      <w:rFonts w:ascii="Segoe UI" w:eastAsia="Segoe UI" w:hAnsi="Segoe UI" w:cs="Segoe UI"/>
      <w:spacing w:val="-10"/>
    </w:rPr>
  </w:style>
  <w:style w:type="paragraph" w:customStyle="1" w:styleId="Style14">
    <w:name w:val="Заголовок №2"/>
    <w:basedOn w:val="Normal"/>
    <w:link w:val="CharStyle15"/>
    <w:pPr>
      <w:widowControl w:val="0"/>
      <w:shd w:val="clear" w:color="auto" w:fill="FFFFFF"/>
      <w:jc w:val="right"/>
      <w:outlineLvl w:val="1"/>
      <w:spacing w:before="300" w:line="0" w:lineRule="exact"/>
    </w:pPr>
    <w:rPr>
      <w:b w:val="0"/>
      <w:bCs w:val="0"/>
      <w:i w:val="0"/>
      <w:iCs w:val="0"/>
      <w:u w:val="none"/>
      <w:strike w:val="0"/>
      <w:smallCaps w:val="0"/>
      <w:sz w:val="30"/>
      <w:szCs w:val="30"/>
      <w:rFonts w:ascii="Times New Roman" w:eastAsia="Times New Roman" w:hAnsi="Times New Roman" w:cs="Times New Roman"/>
      <w:spacing w:val="70"/>
    </w:rPr>
  </w:style>
  <w:style w:type="paragraph" w:customStyle="1" w:styleId="Style17">
    <w:name w:val="Основной текст (3)"/>
    <w:basedOn w:val="Normal"/>
    <w:link w:val="CharStyle18"/>
    <w:pPr>
      <w:widowControl w:val="0"/>
      <w:shd w:val="clear" w:color="auto" w:fill="FFFFFF"/>
      <w:jc w:val="both"/>
      <w:spacing w:line="322"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19">
    <w:name w:val="Основной текст (4)"/>
    <w:basedOn w:val="Normal"/>
    <w:link w:val="CharStyle20"/>
    <w:pPr>
      <w:widowControl w:val="0"/>
      <w:shd w:val="clear" w:color="auto" w:fill="FFFFFF"/>
      <w:jc w:val="both"/>
      <w:spacing w:line="341"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4"/>
    <w:basedOn w:val="Normal"/>
    <w:link w:val="CharStyle22"/>
    <w:pPr>
      <w:widowControl w:val="0"/>
      <w:shd w:val="clear" w:color="auto" w:fill="FFFFFF"/>
      <w:jc w:val="both"/>
      <w:outlineLvl w:val="3"/>
      <w:spacing w:before="60" w:after="60" w:line="0"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jc w:val="center"/>
      <w:spacing w:after="240" w:line="365"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6">
    <w:name w:val="Основной текст (6)"/>
    <w:basedOn w:val="Normal"/>
    <w:link w:val="CharStyle27"/>
    <w:pPr>
      <w:widowControl w:val="0"/>
      <w:shd w:val="clear" w:color="auto" w:fill="FFFFFF"/>
      <w:spacing w:before="420" w:after="60" w:line="30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spacing w:before="60" w:line="0" w:lineRule="exact"/>
    </w:pPr>
    <w:rPr>
      <w:b w:val="0"/>
      <w:bCs w:val="0"/>
      <w:i/>
      <w:iCs/>
      <w:u w:val="none"/>
      <w:strike w:val="0"/>
      <w:smallCaps w:val="0"/>
      <w:sz w:val="8"/>
      <w:szCs w:val="8"/>
      <w:rFonts w:ascii="Bookman Old Style" w:eastAsia="Bookman Old Style" w:hAnsi="Bookman Old Style" w:cs="Bookman Old Style"/>
    </w:rPr>
  </w:style>
  <w:style w:type="paragraph" w:customStyle="1" w:styleId="Style34">
    <w:name w:val="Заголовок №3"/>
    <w:basedOn w:val="Normal"/>
    <w:link w:val="CharStyle35"/>
    <w:pPr>
      <w:widowControl w:val="0"/>
      <w:shd w:val="clear" w:color="auto" w:fill="FFFFFF"/>
      <w:outlineLvl w:val="2"/>
      <w:spacing w:before="540" w:line="0" w:lineRule="exact"/>
    </w:pPr>
    <w:rPr>
      <w:b w:val="0"/>
      <w:bCs w:val="0"/>
      <w:i/>
      <w:iCs/>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