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Оператор электронной площадки:</w:t>
      </w:r>
    </w:p>
    <w:p>
      <w:pPr>
        <w:pStyle w:val="Style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ЗАО «Сбербанк - АСТ»</w:t>
      </w:r>
    </w:p>
    <w:p>
      <w:pPr>
        <w:pStyle w:val="Style5"/>
        <w:widowControl w:val="0"/>
        <w:keepNext w:val="0"/>
        <w:keepLines w:val="0"/>
        <w:shd w:val="clear" w:color="auto" w:fill="auto"/>
        <w:bidi w:val="0"/>
        <w:spacing w:before="0" w:after="0"/>
        <w:ind w:left="40" w:right="200" w:firstLine="0"/>
        <w:sectPr>
          <w:footnotePr>
            <w:pos w:val="pageBottom"/>
            <w:numFmt w:val="decimal"/>
            <w:numRestart w:val="continuous"/>
          </w:footnotePr>
          <w:type w:val="continuous"/>
          <w:pgSz w:w="11906" w:h="16838"/>
          <w:pgMar w:top="830" w:left="5891" w:right="1006" w:bottom="830" w:header="0" w:footer="3" w:gutter="0"/>
          <w:rtlGutter w:val="0"/>
          <w:cols w:space="720"/>
          <w:noEndnote/>
          <w:docGrid w:linePitch="360"/>
        </w:sectPr>
      </w:pPr>
      <w:r>
        <w:rPr>
          <w:lang w:val="ru-RU" w:eastAsia="ru-RU" w:bidi="ru-RU"/>
          <w:w w:val="100"/>
          <w:spacing w:val="0"/>
          <w:color w:val="000000"/>
          <w:position w:val="0"/>
        </w:rPr>
        <w:t>119435, г. Москва, Большой Саввинский переулок, дом 12, строение 9</w:t>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131" w:line="274" w:lineRule="exact"/>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ООО «СтройСервисКонтракт»</w:t>
      </w:r>
    </w:p>
    <w:p>
      <w:pPr>
        <w:pStyle w:val="Style5"/>
        <w:widowControl w:val="0"/>
        <w:keepNext w:val="0"/>
        <w:keepLines w:val="0"/>
        <w:shd w:val="clear" w:color="auto" w:fill="auto"/>
        <w:bidi w:val="0"/>
        <w:spacing w:before="0" w:after="0" w:line="248" w:lineRule="exact"/>
        <w:ind w:left="0" w:right="0" w:firstLine="0"/>
        <w:sectPr>
          <w:type w:val="continuous"/>
          <w:pgSz w:w="11906" w:h="16838"/>
          <w:pgMar w:top="830" w:left="1460" w:right="1330" w:bottom="830" w:header="0" w:footer="3" w:gutter="0"/>
          <w:rtlGutter w:val="0"/>
          <w:cols w:num="2" w:space="720" w:equalWidth="0">
            <w:col w:w="3892" w:space="590"/>
            <w:col w:w="4633"/>
          </w:cols>
          <w:noEndnote/>
          <w:docGrid w:linePitch="360"/>
        </w:sectPr>
      </w:pPr>
      <w:r>
        <w:rPr>
          <w:lang w:val="ru-RU" w:eastAsia="ru-RU" w:bidi="ru-RU"/>
          <w:w w:val="100"/>
          <w:spacing w:val="0"/>
          <w:color w:val="000000"/>
          <w:position w:val="0"/>
        </w:rPr>
        <w:t>628615, Ханты-Мансийский Автономный округ - Югра АО, Нижневартовск г, ул. Северная, 54-108</w:t>
      </w:r>
    </w:p>
    <w:p>
      <w:pPr>
        <w:widowControl w:val="0"/>
        <w:spacing w:line="98"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20" w:lineRule="exact"/>
        <w:ind w:left="0" w:right="0" w:firstLine="0"/>
      </w:pPr>
      <w:r>
        <w:rPr>
          <w:lang w:val="ru-RU" w:eastAsia="ru-RU" w:bidi="ru-RU"/>
          <w:w w:val="100"/>
          <w:spacing w:val="0"/>
          <w:color w:val="000000"/>
          <w:position w:val="0"/>
        </w:rPr>
        <w:t>Федеральной антимонопольной</w:t>
      </w:r>
    </w:p>
    <w:p>
      <w:pPr>
        <w:pStyle w:val="Style3"/>
        <w:widowControl w:val="0"/>
        <w:keepNext w:val="0"/>
        <w:keepLines w:val="0"/>
        <w:shd w:val="clear" w:color="auto" w:fill="auto"/>
        <w:bidi w:val="0"/>
        <w:jc w:val="center"/>
        <w:spacing w:before="0" w:after="141" w:line="281" w:lineRule="exact"/>
        <w:ind w:left="0" w:right="0" w:firstLine="0"/>
      </w:pPr>
      <w:r>
        <w:rPr>
          <w:lang w:val="ru-RU" w:eastAsia="ru-RU" w:bidi="ru-RU"/>
          <w:w w:val="100"/>
          <w:spacing w:val="0"/>
          <w:color w:val="000000"/>
          <w:position w:val="0"/>
        </w:rPr>
        <w:t>службы по Ханты-Мансийскому автономному округу - Югре</w:t>
      </w:r>
    </w:p>
    <w:p>
      <w:pPr>
        <w:pStyle w:val="Style9"/>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ул. Мира, 27, г. Ханты-Мансийск, 628002</w:t>
      </w:r>
    </w:p>
    <w:p>
      <w:pPr>
        <w:pStyle w:val="Style9"/>
        <w:widowControl w:val="0"/>
        <w:keepNext w:val="0"/>
        <w:keepLines w:val="0"/>
        <w:shd w:val="clear" w:color="auto" w:fill="auto"/>
        <w:bidi w:val="0"/>
        <w:spacing w:before="0" w:after="218" w:line="227" w:lineRule="exact"/>
        <w:ind w:left="0" w:right="0" w:firstLine="0"/>
      </w:pPr>
      <w:r>
        <w:rPr>
          <w:lang w:val="ru-RU" w:eastAsia="ru-RU" w:bidi="ru-RU"/>
          <w:w w:val="100"/>
          <w:spacing w:val="0"/>
          <w:color w:val="000000"/>
          <w:position w:val="0"/>
        </w:rPr>
        <w:t xml:space="preserve">тел/факс (3467) 38-80-81 </w:t>
      </w:r>
      <w:r>
        <w:rPr>
          <w:lang w:val="en-US" w:eastAsia="en-US" w:bidi="en-US"/>
          <w:w w:val="100"/>
          <w:spacing w:val="0"/>
          <w:color w:val="000000"/>
          <w:position w:val="0"/>
        </w:rPr>
        <w:t xml:space="preserve">e-mail: </w:t>
      </w:r>
      <w:r>
        <w:fldChar w:fldCharType="begin"/>
      </w:r>
      <w:r>
        <w:rPr>
          <w:rStyle w:val="CharStyle11"/>
        </w:rPr>
        <w:instrText> HYPERLINK "mailto:to86@fas.gov.ru" </w:instrText>
      </w:r>
      <w:r>
        <w:fldChar w:fldCharType="separate"/>
      </w:r>
      <w:r>
        <w:rPr>
          <w:rStyle w:val="Hyperlink"/>
        </w:rPr>
        <w:t>to86@fas.gov.ru</w:t>
      </w:r>
      <w:r>
        <w:fldChar w:fldCharType="end"/>
      </w:r>
    </w:p>
    <w:p>
      <w:pPr>
        <w:pStyle w:val="Style9"/>
        <w:widowControl w:val="0"/>
        <w:keepNext w:val="0"/>
        <w:keepLines w:val="0"/>
        <w:shd w:val="clear" w:color="auto" w:fill="auto"/>
        <w:bidi w:val="0"/>
        <w:jc w:val="left"/>
        <w:spacing w:before="0" w:after="0" w:line="180" w:lineRule="exact"/>
        <w:ind w:left="20" w:right="0" w:firstLine="0"/>
      </w:pPr>
      <w:r>
        <w:rPr>
          <w:rStyle w:val="CharStyle12"/>
        </w:rPr>
        <w:t xml:space="preserve">А?.// </w:t>
      </w:r>
      <w:r>
        <w:rPr>
          <w:rStyle w:val="CharStyle11"/>
          <w:lang w:val="ru-RU" w:eastAsia="ru-RU" w:bidi="ru-RU"/>
        </w:rPr>
        <w:t>2017 № 03/АМ-</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Заказчик:</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Бюджетное учреждение Ханты-Мансийского автономного округа - Югры «Нижневартовская окружная клиническая детская больница»</w:t>
      </w:r>
    </w:p>
    <w:p>
      <w:pPr>
        <w:pStyle w:val="Style5"/>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Место нахождения, почтовый адрес:</w:t>
      </w:r>
    </w:p>
    <w:p>
      <w:pPr>
        <w:pStyle w:val="Style5"/>
        <w:widowControl w:val="0"/>
        <w:keepNext w:val="0"/>
        <w:keepLines w:val="0"/>
        <w:shd w:val="clear" w:color="auto" w:fill="auto"/>
        <w:bidi w:val="0"/>
        <w:jc w:val="left"/>
        <w:spacing w:before="0" w:after="0" w:line="252" w:lineRule="exact"/>
        <w:ind w:left="20" w:right="0" w:firstLine="0"/>
        <w:sectPr>
          <w:type w:val="continuous"/>
          <w:pgSz w:w="11906" w:h="16838"/>
          <w:pgMar w:top="830" w:left="1607" w:right="1326" w:bottom="830" w:header="0" w:footer="3" w:gutter="0"/>
          <w:rtlGutter w:val="0"/>
          <w:cols w:num="2" w:space="720" w:equalWidth="0">
            <w:col w:w="3528" w:space="803"/>
            <w:col w:w="4640"/>
          </w:cols>
          <w:noEndnote/>
          <w:docGrid w:linePitch="360"/>
        </w:sectPr>
      </w:pPr>
      <w:r>
        <w:rPr>
          <w:lang w:val="ru-RU" w:eastAsia="ru-RU" w:bidi="ru-RU"/>
          <w:w w:val="100"/>
          <w:spacing w:val="0"/>
          <w:color w:val="000000"/>
          <w:position w:val="0"/>
        </w:rPr>
        <w:t>628609, Ханты-Мансийский Автономный округ - Югра АО, Нижневартовск г, ул. Северная, д. 30</w:t>
      </w: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830" w:left="5243" w:right="5171" w:bottom="830"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09" w:wrap="around" w:vAnchor="text" w:hAnchor="margin" w:x="7441" w:y="3"/>
        <w:widowControl w:val="0"/>
        <w:keepNext w:val="0"/>
        <w:keepLines w:val="0"/>
        <w:shd w:val="clear" w:color="auto" w:fill="auto"/>
        <w:bidi w:val="0"/>
        <w:jc w:val="left"/>
        <w:spacing w:before="0" w:after="0" w:line="210" w:lineRule="exact"/>
        <w:ind w:left="100" w:right="0" w:firstLine="0"/>
      </w:pPr>
      <w:r>
        <w:rPr>
          <w:rStyle w:val="CharStyle15"/>
          <w:spacing w:val="0"/>
        </w:rPr>
        <w:t>г.Ханты-Мансийск</w:t>
      </w:r>
    </w:p>
    <w:p>
      <w:pPr>
        <w:pStyle w:val="Style13"/>
        <w:widowControl w:val="0"/>
        <w:keepNext w:val="0"/>
        <w:keepLines w:val="0"/>
        <w:shd w:val="clear" w:color="auto" w:fill="auto"/>
        <w:bidi w:val="0"/>
        <w:jc w:val="left"/>
        <w:spacing w:before="0" w:after="13" w:line="220" w:lineRule="exact"/>
        <w:ind w:left="20" w:right="0" w:firstLine="0"/>
      </w:pPr>
      <w:r>
        <w:rPr>
          <w:lang w:val="ru-RU" w:eastAsia="ru-RU" w:bidi="ru-RU"/>
          <w:w w:val="100"/>
          <w:spacing w:val="0"/>
          <w:color w:val="000000"/>
          <w:position w:val="0"/>
        </w:rPr>
        <w:t>Резолютивная часть объявлена 03.11.2017</w:t>
      </w:r>
    </w:p>
    <w:p>
      <w:pPr>
        <w:pStyle w:val="Style13"/>
        <w:widowControl w:val="0"/>
        <w:keepNext w:val="0"/>
        <w:keepLines w:val="0"/>
        <w:shd w:val="clear" w:color="auto" w:fill="auto"/>
        <w:bidi w:val="0"/>
        <w:jc w:val="left"/>
        <w:spacing w:before="0" w:after="266" w:line="220" w:lineRule="exact"/>
        <w:ind w:left="20" w:right="0" w:firstLine="0"/>
      </w:pPr>
      <w:r>
        <w:rPr>
          <w:lang w:val="ru-RU" w:eastAsia="ru-RU" w:bidi="ru-RU"/>
          <w:w w:val="100"/>
          <w:spacing w:val="0"/>
          <w:color w:val="000000"/>
          <w:position w:val="0"/>
        </w:rPr>
        <w:t>Изготовлено в полном объеме 07.11.2017</w:t>
      </w:r>
    </w:p>
    <w:p>
      <w:pPr>
        <w:pStyle w:val="Style13"/>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1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13"/>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1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13"/>
        <w:numPr>
          <w:ilvl w:val="0"/>
          <w:numId w:val="1"/>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Плеханов А.Н.- Начальник отдела Управления;</w:t>
      </w:r>
    </w:p>
    <w:p>
      <w:pPr>
        <w:pStyle w:val="Style13"/>
        <w:numPr>
          <w:ilvl w:val="0"/>
          <w:numId w:val="1"/>
        </w:numPr>
        <w:widowControl w:val="0"/>
        <w:keepNext w:val="0"/>
        <w:keepLines w:val="0"/>
        <w:shd w:val="clear" w:color="auto" w:fill="auto"/>
        <w:bidi w:val="0"/>
        <w:jc w:val="both"/>
        <w:spacing w:before="0" w:after="283" w:line="274" w:lineRule="exact"/>
        <w:ind w:left="20" w:right="0" w:firstLine="720"/>
      </w:pPr>
      <w:r>
        <w:rPr>
          <w:lang w:val="ru-RU" w:eastAsia="ru-RU" w:bidi="ru-RU"/>
          <w:w w:val="100"/>
          <w:spacing w:val="0"/>
          <w:color w:val="000000"/>
          <w:position w:val="0"/>
        </w:rPr>
        <w:t xml:space="preserve"> Базанов М.Е. - Ведущий специалист — эксперт отдела Управления.</w:t>
      </w:r>
    </w:p>
    <w:p>
      <w:pPr>
        <w:pStyle w:val="Style13"/>
        <w:widowControl w:val="0"/>
        <w:keepNext w:val="0"/>
        <w:keepLines w:val="0"/>
        <w:shd w:val="clear" w:color="auto" w:fill="auto"/>
        <w:bidi w:val="0"/>
        <w:jc w:val="both"/>
        <w:spacing w:before="0" w:after="9" w:line="220" w:lineRule="exact"/>
        <w:ind w:left="20" w:right="0" w:firstLine="720"/>
      </w:pPr>
      <w:r>
        <w:rPr>
          <w:lang w:val="ru-RU" w:eastAsia="ru-RU" w:bidi="ru-RU"/>
          <w:w w:val="100"/>
          <w:spacing w:val="0"/>
          <w:color w:val="000000"/>
          <w:position w:val="0"/>
        </w:rPr>
        <w:t>от Заявителя - не явились, уведомлены надлежащим образом;</w:t>
      </w:r>
    </w:p>
    <w:p>
      <w:pPr>
        <w:pStyle w:val="Style13"/>
        <w:widowControl w:val="0"/>
        <w:keepNext w:val="0"/>
        <w:keepLines w:val="0"/>
        <w:shd w:val="clear" w:color="auto" w:fill="auto"/>
        <w:bidi w:val="0"/>
        <w:jc w:val="both"/>
        <w:spacing w:before="0" w:after="266" w:line="220" w:lineRule="exact"/>
        <w:ind w:left="20" w:right="0" w:firstLine="720"/>
      </w:pPr>
      <w:r>
        <w:rPr>
          <w:lang w:val="ru-RU" w:eastAsia="ru-RU" w:bidi="ru-RU"/>
          <w:w w:val="100"/>
          <w:spacing w:val="0"/>
          <w:color w:val="000000"/>
          <w:position w:val="0"/>
        </w:rPr>
        <w:t>от Заказчика - не явились, уведомлены надлежащим образом;</w:t>
      </w:r>
    </w:p>
    <w:p>
      <w:pPr>
        <w:pStyle w:val="Style13"/>
        <w:widowControl w:val="0"/>
        <w:keepNext w:val="0"/>
        <w:keepLines w:val="0"/>
        <w:shd w:val="clear" w:color="auto" w:fill="auto"/>
        <w:bidi w:val="0"/>
        <w:jc w:val="both"/>
        <w:spacing w:before="0" w:after="283" w:line="274" w:lineRule="exact"/>
        <w:ind w:left="20" w:right="20" w:firstLine="720"/>
      </w:pPr>
      <w:r>
        <w:rPr>
          <w:lang w:val="ru-RU" w:eastAsia="ru-RU" w:bidi="ru-RU"/>
          <w:w w:val="100"/>
          <w:spacing w:val="0"/>
          <w:color w:val="000000"/>
          <w:position w:val="0"/>
        </w:rPr>
        <w:t xml:space="preserve">рассмотрев жалобу жалоба ООО «СтройСервисКонтракт» (далее — Заявитель) от 27.10.2017 №1678-ж на действия (бездействие) 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при проведении электронного аукциона, предметом которого является оказание услуг по эксплуатации и техническому обслуживанию газовой котельной (извещение № 0387200007017000184)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left"/>
        <w:spacing w:before="0" w:after="266" w:line="220" w:lineRule="exact"/>
        <w:ind w:left="456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Заявителя на действия аукционной комиссии Заказчика при проведении электронного аукциона.</w:t>
      </w:r>
      <w:r>
        <w:br w:type="page"/>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считает, что его права и законные интересы нарушены действиями аукционной комиссии, принявшей необоснованное решение об отказе в допуске на участие в аукционе (нарушения части 5 статьи 67 Закона о контрактной системе).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оказание услуг по эксплуатации и техническому обслуживанию газовой котельной (извещение № 0387200007017000184) размещены на официальном сайте единой информационной системы 10.10.2017.</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По итогам рассмотрения первых частей заявок на участие в электронном аукционе Единой комиссией было принято решение о допуске шести участников (заявки № </w:t>
      </w:r>
      <w:r>
        <w:rPr>
          <w:rStyle w:val="CharStyle16"/>
        </w:rPr>
        <w:t>1,2,</w:t>
      </w:r>
      <w:r>
        <w:rPr>
          <w:lang w:val="ru-RU" w:eastAsia="ru-RU" w:bidi="ru-RU"/>
          <w:w w:val="100"/>
          <w:spacing w:val="0"/>
          <w:color w:val="000000"/>
          <w:position w:val="0"/>
        </w:rPr>
        <w:t xml:space="preserve"> 3, 4, 5, 6), и об отказе в допуске к участию в аукционе участнику закупки - «СтройСервисКонтракт» (заявка № 5) по причине не предоставления участником конкретных показателей используемого товара.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следует из требований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частью 4 статьи 67 Закона о контрактной системе, участник электронного аукциона не допускается к участию в нем в случае:</w:t>
      </w:r>
    </w:p>
    <w:p>
      <w:pPr>
        <w:pStyle w:val="Style1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пунктом 3 части 3 статьи 66 Закона о контрактной системе заявка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w:t>
      </w:r>
    </w:p>
    <w:p>
      <w:pPr>
        <w:pStyle w:val="Style13"/>
        <w:tabs>
          <w:tab w:leader="none" w:pos="2822" w:val="left"/>
          <w:tab w:leader="none" w:pos="4491" w:val="left"/>
          <w:tab w:leader="none" w:pos="7239" w:val="right"/>
          <w:tab w:leader="none" w:pos="9694" w:val="righ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w:t>
        <w:tab/>
        <w:t>промышленные</w:t>
        <w:tab/>
        <w:t>образцы (при</w:t>
        <w:tab/>
        <w:t>наличии),</w:t>
        <w:tab/>
        <w:t>наименование страны</w:t>
      </w:r>
    </w:p>
    <w:p>
      <w:pPr>
        <w:pStyle w:val="Style13"/>
        <w:tabs>
          <w:tab w:leader="none" w:pos="2822" w:val="left"/>
          <w:tab w:leader="none" w:pos="4491" w:val="left"/>
          <w:tab w:leader="none" w:pos="7239" w:val="right"/>
          <w:tab w:leader="none" w:pos="9694"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w:t>
        <w:tab/>
        <w:t>промышленные</w:t>
        <w:tab/>
        <w:t>образцы (при</w:t>
        <w:tab/>
        <w:t>наличии),</w:t>
        <w:tab/>
        <w:t>наименование страны</w:t>
      </w:r>
    </w:p>
    <w:p>
      <w:pPr>
        <w:pStyle w:val="Style13"/>
        <w:tabs>
          <w:tab w:leader="none" w:pos="2822" w:val="left"/>
          <w:tab w:leader="none" w:pos="7239"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w:t>
        <w:tab/>
        <w:t>в заявке на участие в таком</w:t>
        <w:tab/>
        <w:t>аукционе на товарный знак (его</w:t>
      </w:r>
    </w:p>
    <w:p>
      <w:pPr>
        <w:pStyle w:val="Style13"/>
        <w:tabs>
          <w:tab w:leader="none" w:pos="2822" w:val="left"/>
          <w:tab w:leader="none" w:pos="4494" w:val="left"/>
          <w:tab w:leader="none" w:pos="9694"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словесное обозначение)</w:t>
        <w:tab/>
        <w:t>(при наличии),</w:t>
        <w:tab/>
        <w:t>знак обслуживания (при</w:t>
        <w:tab/>
        <w:t>наличии), фирменное</w:t>
      </w:r>
    </w:p>
    <w:p>
      <w:pPr>
        <w:pStyle w:val="Style1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Аналогичные требования установлены пунктом 20 «Требования к содержанию и составу заявки на участие в электронном аукционе» аукционной документации.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приложении 2 к техническому заданию документации об электронном аукционе Заказчиком установлен перечень расходных материалов, подлежащих замене при техническом обслуживании и ремонту газовой котельной: фильтр газовый, тип (марка) 3100/1, назначение: очистка газа от пыли, ржавчины, смолящих веществ и др.твердых частиц, 1 штука.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То есть Заказчиком не указаны те характеристики товара, относительно которых в заявке достаточно предоставить согласие на использование товара, а требовалось предоставить конкретные показатели товара.</w:t>
      </w:r>
    </w:p>
    <w:p>
      <w:pPr>
        <w:pStyle w:val="Style1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Первая часть заявки № 5 ООО «СтройСервисКонтракт» состоит из двух файлов:</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одном содержится согласие выполнить указанный в аукционной документации предмет контракта в соответствии с указанной аукционной документацией стоимостью (по цене) не выше начальной (максимальной) цены контракта.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Во втором содержится согласие на выполнение предмета контракта в соответствии с условиями, предусмотренными документацией об открытом аукционе в электронной форме, в том числе с использованием товара, указание на товарный знак и конкретные показатели, которые установлены документацией открытого аукциона в электронной форме, а также техническое задание на оказание услуг по техническому обслуживанию и ремонту газовой котельной, указание на страну происхождения товара: Россия.</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заявке № 5 ООО «СтройСервисКонтракт» не предоставлены конкретные показатели товара, предусмотренные в приложении 2 к техническому заданию документации об электронном аукционе.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связи с этим, на основании пункта 1 части 4 статьи 67 Закона о контрактной системе участнику закупки ООО «СтройСервисКонтракт» правомерно отказано в допуске к участию электронном аукционе.</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Данные выводы подтверждаются письмом Минэкономразвития России от 24.09.2015 г. № Д28и-2868 «О разъяснении некоторых положений Федерального закона № 44-ФЗ», согласно которому, в случае если заказчик указал в документации об электронном аукционе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то участнику в первой части заявки достаточно предоставить согласие, предусмотренное пунктом 2 части 3 статьи 66 Закона, в том числе согласие на использование товара, указанного в данной документации (подпункт "а" пункта 3 части 3 статьи 66 Закона).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случае если участник аукциона предлагает для выполнения работы или оказания услуги товар, который является эквивалентным товару, указанному в документации об аукционе, такой участник аукциона обязан указывать в своей заявке конкретные показатели товара, соответствующие значениям эквивалентности, установленным данной документацией, а также наименование страны происхождения товара.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случае если заказчик не указал в документации об электронном аукционе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то участник такого электронного аукциона в первой части заявки должен указать всю предусмотренную подпунктом "б" пункта 3 части 3 статьи 66 Закона информацию.</w:t>
      </w:r>
    </w:p>
    <w:p>
      <w:pPr>
        <w:pStyle w:val="Style13"/>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На основании вышеизложенного, Комиссия Управления приходит к выводу об отсутствии в действиях Единой (аукционной) комиссии нарушений Закона о контрактной системе, в части отказа в допуске к участию в аукционе участнику закупки с порядковым номером 5 — ООО «СтройСервисКонтракт» .</w:t>
      </w:r>
    </w:p>
    <w:p>
      <w:pPr>
        <w:pStyle w:val="Style13"/>
        <w:widowControl w:val="0"/>
        <w:keepNext w:val="0"/>
        <w:keepLines w:val="0"/>
        <w:shd w:val="clear" w:color="auto" w:fill="auto"/>
        <w:bidi w:val="0"/>
        <w:jc w:val="both"/>
        <w:spacing w:before="0" w:after="286"/>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7"/>
        <w:widowControl w:val="0"/>
        <w:keepNext/>
        <w:keepLines/>
        <w:shd w:val="clear" w:color="auto" w:fill="auto"/>
        <w:bidi w:val="0"/>
        <w:spacing w:before="0" w:after="206" w:line="220" w:lineRule="exact"/>
        <w:ind w:left="20" w:right="0" w:firstLine="0"/>
      </w:pPr>
      <w:bookmarkStart w:id="1" w:name="bookmark1"/>
      <w:r>
        <w:rPr>
          <w:lang w:val="ru-RU" w:eastAsia="ru-RU" w:bidi="ru-RU"/>
          <w:w w:val="100"/>
          <w:spacing w:val="0"/>
          <w:color w:val="000000"/>
          <w:position w:val="0"/>
        </w:rPr>
        <w:t>решила:</w:t>
      </w:r>
      <w:bookmarkEnd w:id="1"/>
    </w:p>
    <w:p>
      <w:pPr>
        <w:pStyle w:val="Style13"/>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Признать жалобу ООО «СтройСервисКонтракт» от 27.10.2017 №1678-ж на действия (бездействие) аукционной комиссии Заказчика - Бюджетное учреждение Ханты-Мансийского автономного округа - Югры «Нижневартовская окружная клиническая детская больница» при проведении электронного аукциона, предметом которого является оказание услуг по эксплуатации и техническому обслуживанию газовой котельной (извещение № 0387200007017000184)необоснованной.</w:t>
      </w:r>
    </w:p>
    <w:p>
      <w:pPr>
        <w:pStyle w:val="Style13"/>
        <w:numPr>
          <w:ilvl w:val="0"/>
          <w:numId w:val="5"/>
        </w:numPr>
        <w:widowControl w:val="0"/>
        <w:keepNext w:val="0"/>
        <w:keepLines w:val="0"/>
        <w:shd w:val="clear" w:color="auto" w:fill="auto"/>
        <w:bidi w:val="0"/>
        <w:jc w:val="both"/>
        <w:spacing w:before="0" w:after="5" w:line="274" w:lineRule="exact"/>
        <w:ind w:left="20" w:right="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w:t>
      </w:r>
    </w:p>
    <w:sectPr>
      <w:type w:val="continuous"/>
      <w:pgSz w:w="11906" w:h="16838"/>
      <w:pgMar w:top="979" w:left="1044" w:right="1152" w:bottom="9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en-US" w:eastAsia="en-US" w:bidi="en-US"/>
      <w:u w:val="single"/>
      <w:w w:val="100"/>
      <w:spacing w:val="0"/>
      <w:color w:val="000000"/>
      <w:position w:val="0"/>
    </w:rPr>
  </w:style>
  <w:style w:type="character" w:customStyle="1" w:styleId="CharStyle12">
    <w:name w:val="Основной текст (4)"/>
    <w:basedOn w:val="CharStyle10"/>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16">
    <w:name w:val="Основной текст + Интервал 1 pt"/>
    <w:basedOn w:val="CharStyle14"/>
    <w:rPr>
      <w:lang w:val="ru-RU" w:eastAsia="ru-RU" w:bidi="ru-RU"/>
      <w:w w:val="100"/>
      <w:spacing w:val="30"/>
      <w:color w:val="000000"/>
      <w:position w:val="0"/>
    </w:rPr>
  </w:style>
  <w:style w:type="character" w:customStyle="1" w:styleId="CharStyle18">
    <w:name w:val="Заголовок №2_"/>
    <w:basedOn w:val="DefaultParagraphFont"/>
    <w:link w:val="Style17"/>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both"/>
      <w:spacing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line="259"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center"/>
      <w:outlineLvl w:val="1"/>
      <w:spacing w:before="240" w:after="30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