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color w:val="000000"/>
          <w:position w:val="0"/>
        </w:rPr>
        <w:t>Заказчик:</w:t>
      </w:r>
    </w:p>
    <w:p>
      <w:pPr>
        <w:pStyle w:val="Style3"/>
        <w:widowControl w:val="0"/>
        <w:keepNext w:val="0"/>
        <w:keepLines w:val="0"/>
        <w:shd w:val="clear" w:color="auto" w:fill="auto"/>
        <w:bidi w:val="0"/>
        <w:jc w:val="left"/>
        <w:spacing w:before="0" w:after="244" w:line="326" w:lineRule="exact"/>
        <w:ind w:left="4820" w:right="260" w:firstLine="0"/>
      </w:pPr>
      <w:r>
        <w:rPr>
          <w:lang w:val="ru-RU" w:eastAsia="ru-RU" w:bidi="ru-RU"/>
          <w:sz w:val="24"/>
          <w:szCs w:val="24"/>
          <w:w w:val="100"/>
          <w:color w:val="000000"/>
          <w:position w:val="0"/>
        </w:rPr>
        <w:t>Государственное бюджетное учреждение здравоохранения Ленинградская областная клиническая больница</w:t>
      </w:r>
    </w:p>
    <w:p>
      <w:pPr>
        <w:pStyle w:val="Style3"/>
        <w:widowControl w:val="0"/>
        <w:keepNext w:val="0"/>
        <w:keepLines w:val="0"/>
        <w:shd w:val="clear" w:color="auto" w:fill="auto"/>
        <w:bidi w:val="0"/>
        <w:jc w:val="left"/>
        <w:spacing w:before="0" w:after="305" w:line="322" w:lineRule="exact"/>
        <w:ind w:left="4820" w:right="260" w:firstLine="0"/>
      </w:pPr>
      <w:r>
        <w:rPr>
          <w:lang w:val="ru-RU" w:eastAsia="ru-RU" w:bidi="ru-RU"/>
          <w:sz w:val="24"/>
          <w:szCs w:val="24"/>
          <w:w w:val="100"/>
          <w:color w:val="000000"/>
          <w:position w:val="0"/>
        </w:rPr>
        <w:t xml:space="preserve">пр. Луначарского, д.45-49, Санкт-Петербург, 194291 тел.: (812) 4381423 </w:t>
      </w:r>
      <w:r>
        <w:rPr>
          <w:lang w:val="en-US" w:eastAsia="en-US" w:bidi="en-US"/>
          <w:sz w:val="24"/>
          <w:szCs w:val="24"/>
          <w:w w:val="100"/>
          <w:color w:val="000000"/>
          <w:position w:val="0"/>
        </w:rPr>
        <w:t xml:space="preserve">e-mail: </w:t>
      </w:r>
      <w:r>
        <w:fldChar w:fldCharType="begin"/>
      </w:r>
      <w:r>
        <w:rPr>
          <w:color w:val="000000"/>
        </w:rPr>
        <w:instrText> HYPERLINK "mailto:admin@oblmed.spb.ru" </w:instrText>
      </w:r>
      <w:r>
        <w:fldChar w:fldCharType="separate"/>
      </w:r>
      <w:r>
        <w:rPr>
          <w:rStyle w:val="Hyperlink"/>
          <w:lang w:val="en-US" w:eastAsia="en-US" w:bidi="en-US"/>
          <w:sz w:val="24"/>
          <w:szCs w:val="24"/>
          <w:w w:val="100"/>
          <w:position w:val="0"/>
        </w:rPr>
        <w:t>admin@oblmed.spb.ru</w:t>
      </w:r>
      <w:r>
        <w:fldChar w:fldCharType="end"/>
      </w:r>
    </w:p>
    <w:p>
      <w:pPr>
        <w:pStyle w:val="Style3"/>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color w:val="000000"/>
          <w:position w:val="0"/>
        </w:rPr>
        <w:t>Уполномоченный орган:</w:t>
      </w:r>
    </w:p>
    <w:p>
      <w:pPr>
        <w:pStyle w:val="Style3"/>
        <w:widowControl w:val="0"/>
        <w:keepNext w:val="0"/>
        <w:keepLines w:val="0"/>
        <w:shd w:val="clear" w:color="auto" w:fill="auto"/>
        <w:bidi w:val="0"/>
        <w:jc w:val="left"/>
        <w:spacing w:before="0" w:after="244" w:line="322" w:lineRule="exact"/>
        <w:ind w:left="4820" w:right="260" w:firstLine="0"/>
      </w:pPr>
      <w:r>
        <w:rPr>
          <w:lang w:val="ru-RU" w:eastAsia="ru-RU" w:bidi="ru-RU"/>
          <w:sz w:val="24"/>
          <w:szCs w:val="24"/>
          <w:w w:val="100"/>
          <w:color w:val="000000"/>
          <w:position w:val="0"/>
        </w:rPr>
        <w:t>Комитет государственного заказа Ленинградской области</w:t>
      </w:r>
    </w:p>
    <w:p>
      <w:pPr>
        <w:pStyle w:val="Style3"/>
        <w:widowControl w:val="0"/>
        <w:keepNext w:val="0"/>
        <w:keepLines w:val="0"/>
        <w:shd w:val="clear" w:color="auto" w:fill="auto"/>
        <w:bidi w:val="0"/>
        <w:jc w:val="left"/>
        <w:spacing w:before="0" w:after="302" w:line="317" w:lineRule="exact"/>
        <w:ind w:left="4820" w:right="260" w:firstLine="0"/>
      </w:pPr>
      <w:r>
        <w:rPr>
          <w:lang w:val="ru-RU" w:eastAsia="ru-RU" w:bidi="ru-RU"/>
          <w:sz w:val="24"/>
          <w:szCs w:val="24"/>
          <w:w w:val="100"/>
          <w:color w:val="000000"/>
          <w:position w:val="0"/>
        </w:rPr>
        <w:t xml:space="preserve">ул. Смольного, д. 3, лит. А, г. Санкт-Петербург, 191124 тел.:+7 (812) 5795245, </w:t>
      </w:r>
      <w:r>
        <w:rPr>
          <w:lang w:val="en-US" w:eastAsia="en-US" w:bidi="en-US"/>
          <w:sz w:val="24"/>
          <w:szCs w:val="24"/>
          <w:w w:val="100"/>
          <w:color w:val="000000"/>
          <w:position w:val="0"/>
        </w:rPr>
        <w:t xml:space="preserve">e-mail: </w:t>
      </w:r>
      <w:r>
        <w:fldChar w:fldCharType="begin"/>
      </w:r>
      <w:r>
        <w:rPr>
          <w:color w:val="000000"/>
        </w:rPr>
        <w:instrText> HYPERLINK "mailto:konkurs@lenreg.ru" </w:instrText>
      </w:r>
      <w:r>
        <w:fldChar w:fldCharType="separate"/>
      </w:r>
      <w:r>
        <w:rPr>
          <w:rStyle w:val="Hyperlink"/>
          <w:lang w:val="en-US" w:eastAsia="en-US" w:bidi="en-US"/>
          <w:sz w:val="24"/>
          <w:szCs w:val="24"/>
          <w:w w:val="100"/>
          <w:position w:val="0"/>
        </w:rPr>
        <w:t>konkurs@lenreg.ru</w:t>
      </w:r>
      <w:r>
        <w:fldChar w:fldCharType="end"/>
      </w:r>
    </w:p>
    <w:p>
      <w:pPr>
        <w:pStyle w:val="Style3"/>
        <w:widowControl w:val="0"/>
        <w:keepNext w:val="0"/>
        <w:keepLines w:val="0"/>
        <w:shd w:val="clear" w:color="auto" w:fill="auto"/>
        <w:bidi w:val="0"/>
        <w:jc w:val="left"/>
        <w:spacing w:before="0" w:after="22" w:line="240" w:lineRule="exact"/>
        <w:ind w:left="4820" w:right="0" w:firstLine="0"/>
      </w:pPr>
      <w:r>
        <w:rPr>
          <w:lang w:val="ru-RU" w:eastAsia="ru-RU" w:bidi="ru-RU"/>
          <w:sz w:val="24"/>
          <w:szCs w:val="24"/>
          <w:w w:val="100"/>
          <w:color w:val="000000"/>
          <w:position w:val="0"/>
        </w:rPr>
        <w:t>Заявитель:</w:t>
      </w:r>
    </w:p>
    <w:p>
      <w:pPr>
        <w:pStyle w:val="Style3"/>
        <w:widowControl w:val="0"/>
        <w:keepNext w:val="0"/>
        <w:keepLines w:val="0"/>
        <w:shd w:val="clear" w:color="auto" w:fill="auto"/>
        <w:bidi w:val="0"/>
        <w:jc w:val="left"/>
        <w:spacing w:before="0" w:after="311" w:line="240" w:lineRule="exact"/>
        <w:ind w:left="4820" w:right="0" w:firstLine="0"/>
      </w:pPr>
      <w:r>
        <w:rPr>
          <w:lang w:val="ru-RU" w:eastAsia="ru-RU" w:bidi="ru-RU"/>
          <w:sz w:val="24"/>
          <w:szCs w:val="24"/>
          <w:w w:val="100"/>
          <w:color w:val="000000"/>
          <w:position w:val="0"/>
        </w:rPr>
        <w:t>ООО «Альтера»</w:t>
      </w:r>
    </w:p>
    <w:p>
      <w:pPr>
        <w:pStyle w:val="Style3"/>
        <w:widowControl w:val="0"/>
        <w:keepNext w:val="0"/>
        <w:keepLines w:val="0"/>
        <w:shd w:val="clear" w:color="auto" w:fill="auto"/>
        <w:bidi w:val="0"/>
        <w:jc w:val="left"/>
        <w:spacing w:before="0" w:after="302" w:line="317" w:lineRule="exact"/>
        <w:ind w:left="4820" w:right="260" w:firstLine="0"/>
      </w:pPr>
      <w:r>
        <w:rPr>
          <w:lang w:val="ru-RU" w:eastAsia="ru-RU" w:bidi="ru-RU"/>
          <w:sz w:val="24"/>
          <w:szCs w:val="24"/>
          <w:w w:val="100"/>
          <w:color w:val="000000"/>
          <w:position w:val="0"/>
        </w:rPr>
        <w:t xml:space="preserve">ул. Есенина, д. 5, лит. Б, пом. 57 Н, Санкт-Петербург, 194354 тел./факс: (812) 3631950 </w:t>
      </w:r>
      <w:r>
        <w:rPr>
          <w:lang w:val="en-US" w:eastAsia="en-US" w:bidi="en-US"/>
          <w:sz w:val="24"/>
          <w:szCs w:val="24"/>
          <w:w w:val="100"/>
          <w:color w:val="000000"/>
          <w:position w:val="0"/>
        </w:rPr>
        <w:t xml:space="preserve">e-mail: </w:t>
      </w:r>
      <w:r>
        <w:fldChar w:fldCharType="begin"/>
      </w:r>
      <w:r>
        <w:rPr>
          <w:color w:val="000000"/>
        </w:rPr>
        <w:instrText> HYPERLINK "mailto:mail@altera-ltd.ru" </w:instrText>
      </w:r>
      <w:r>
        <w:fldChar w:fldCharType="separate"/>
      </w:r>
      <w:r>
        <w:rPr>
          <w:rStyle w:val="Hyperlink"/>
          <w:lang w:val="en-US" w:eastAsia="en-US" w:bidi="en-US"/>
          <w:sz w:val="24"/>
          <w:szCs w:val="24"/>
          <w:w w:val="100"/>
          <w:position w:val="0"/>
        </w:rPr>
        <w:t>mail@altera-ltd.ru</w:t>
      </w:r>
      <w:r>
        <w:fldChar w:fldCharType="end"/>
      </w:r>
    </w:p>
    <w:p>
      <w:pPr>
        <w:pStyle w:val="Style3"/>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color w:val="000000"/>
          <w:position w:val="0"/>
        </w:rPr>
        <w:t>Оператор электронной площадки:</w:t>
      </w:r>
    </w:p>
    <w:p>
      <w:pPr>
        <w:pStyle w:val="Style6"/>
        <w:widowControl w:val="0"/>
        <w:keepNext/>
        <w:keepLines/>
        <w:shd w:val="clear" w:color="auto" w:fill="auto"/>
        <w:bidi w:val="0"/>
        <w:jc w:val="left"/>
        <w:spacing w:before="0" w:after="0" w:line="380" w:lineRule="exact"/>
        <w:ind w:left="4820" w:right="0" w:firstLine="0"/>
      </w:pPr>
      <w:bookmarkStart w:id="0" w:name="bookmark0"/>
      <w:r>
        <w:rPr>
          <w:lang w:val="ru-RU" w:eastAsia="ru-RU" w:bidi="ru-RU"/>
          <w:w w:val="100"/>
          <w:color w:val="000000"/>
          <w:position w:val="0"/>
        </w:rPr>
        <w:t>этп нэп</w:t>
      </w:r>
      <w:bookmarkEnd w:id="0"/>
    </w:p>
    <w:p>
      <w:pPr>
        <w:pStyle w:val="Style3"/>
        <w:widowControl w:val="0"/>
        <w:keepNext w:val="0"/>
        <w:keepLines w:val="0"/>
        <w:shd w:val="clear" w:color="auto" w:fill="auto"/>
        <w:bidi w:val="0"/>
        <w:jc w:val="left"/>
        <w:spacing w:before="0" w:after="313" w:line="331" w:lineRule="exact"/>
        <w:ind w:left="4820" w:right="260" w:firstLine="0"/>
      </w:pPr>
      <w:r>
        <w:rPr>
          <w:lang w:val="ru-RU" w:eastAsia="ru-RU" w:bidi="ru-RU"/>
          <w:sz w:val="24"/>
          <w:szCs w:val="24"/>
          <w:w w:val="100"/>
          <w:color w:val="000000"/>
          <w:position w:val="0"/>
        </w:rPr>
        <w:t xml:space="preserve">тел.: (495)7850545 </w:t>
      </w:r>
      <w:r>
        <w:rPr>
          <w:lang w:val="en-US" w:eastAsia="en-US" w:bidi="en-US"/>
          <w:sz w:val="24"/>
          <w:szCs w:val="24"/>
          <w:w w:val="100"/>
          <w:color w:val="000000"/>
          <w:position w:val="0"/>
        </w:rPr>
        <w:t xml:space="preserve">e-mail: </w:t>
      </w:r>
      <w:r>
        <w:fldChar w:fldCharType="begin"/>
      </w:r>
      <w:r>
        <w:rPr>
          <w:color w:val="000000"/>
        </w:rPr>
        <w:instrText> HYPERLINK "mailto:auditors@etpz.ru" </w:instrText>
      </w:r>
      <w:r>
        <w:fldChar w:fldCharType="separate"/>
      </w:r>
      <w:r>
        <w:rPr>
          <w:rStyle w:val="Hyperlink"/>
          <w:lang w:val="en-US" w:eastAsia="en-US" w:bidi="en-US"/>
          <w:sz w:val="24"/>
          <w:szCs w:val="24"/>
          <w:w w:val="100"/>
          <w:position w:val="0"/>
        </w:rPr>
        <w:t>auditors@etpz.ru</w:t>
      </w:r>
      <w:r>
        <w:fldChar w:fldCharType="end"/>
      </w:r>
    </w:p>
    <w:p>
      <w:pPr>
        <w:pStyle w:val="Style3"/>
        <w:widowControl w:val="0"/>
        <w:keepNext w:val="0"/>
        <w:keepLines w:val="0"/>
        <w:shd w:val="clear" w:color="auto" w:fill="auto"/>
        <w:bidi w:val="0"/>
        <w:jc w:val="left"/>
        <w:spacing w:before="0" w:after="297" w:line="240" w:lineRule="exact"/>
        <w:ind w:left="4820" w:right="0" w:firstLine="0"/>
      </w:pPr>
      <w:r>
        <w:rPr>
          <w:lang w:val="ru-RU" w:eastAsia="ru-RU" w:bidi="ru-RU"/>
          <w:sz w:val="24"/>
          <w:szCs w:val="24"/>
          <w:w w:val="100"/>
          <w:color w:val="000000"/>
          <w:position w:val="0"/>
        </w:rPr>
        <w:t>извещение № 0145200000417001776</w:t>
      </w:r>
    </w:p>
    <w:p>
      <w:pPr>
        <w:pStyle w:val="Style3"/>
        <w:tabs>
          <w:tab w:leader="none" w:pos="8189" w:val="center"/>
        </w:tabs>
        <w:widowControl w:val="0"/>
        <w:keepNext w:val="0"/>
        <w:keepLines w:val="0"/>
        <w:shd w:val="clear" w:color="auto" w:fill="auto"/>
        <w:bidi w:val="0"/>
        <w:jc w:val="left"/>
        <w:spacing w:before="0" w:after="240" w:line="322" w:lineRule="exact"/>
        <w:ind w:left="0" w:right="840" w:firstLine="3920"/>
      </w:pPr>
      <w:r>
        <w:rPr>
          <w:lang w:val="ru-RU" w:eastAsia="ru-RU" w:bidi="ru-RU"/>
          <w:sz w:val="24"/>
          <w:szCs w:val="24"/>
          <w:w w:val="100"/>
          <w:color w:val="000000"/>
          <w:position w:val="0"/>
        </w:rPr>
        <w:t>РЕШЕНИЕ Комиссии Ленинградского УФАС России по контролю в сфере закупок по делу № 1359-03-10048-РЗ/17 07 ноября 2017 года</w:t>
        <w:tab/>
        <w:t>Санкт-Петербург</w:t>
      </w:r>
    </w:p>
    <w:p>
      <w:pPr>
        <w:pStyle w:val="Style3"/>
        <w:widowControl w:val="0"/>
        <w:keepNext w:val="0"/>
        <w:keepLines w:val="0"/>
        <w:shd w:val="clear" w:color="auto" w:fill="auto"/>
        <w:bidi w:val="0"/>
        <w:jc w:val="left"/>
        <w:spacing w:before="0" w:after="0" w:line="322" w:lineRule="exact"/>
        <w:ind w:left="0" w:right="420" w:firstLine="70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0" w:line="312" w:lineRule="exact"/>
        <w:ind w:left="0" w:right="420" w:firstLine="700"/>
      </w:pPr>
      <w:r>
        <w:rPr>
          <w:lang w:val="ru-RU" w:eastAsia="ru-RU" w:bidi="ru-RU"/>
          <w:sz w:val="24"/>
          <w:szCs w:val="24"/>
          <w:w w:val="100"/>
          <w:color w:val="000000"/>
          <w:position w:val="0"/>
        </w:rPr>
        <w:t>Журавлева Алексея Александровича - заместителя руководителя управления, председателя Комиссии,</w:t>
      </w:r>
    </w:p>
    <w:p>
      <w:pPr>
        <w:pStyle w:val="Style3"/>
        <w:widowControl w:val="0"/>
        <w:keepNext w:val="0"/>
        <w:keepLines w:val="0"/>
        <w:shd w:val="clear" w:color="auto" w:fill="auto"/>
        <w:bidi w:val="0"/>
        <w:jc w:val="left"/>
        <w:spacing w:before="0" w:after="225" w:line="341" w:lineRule="exact"/>
        <w:ind w:left="0" w:right="420" w:firstLine="700"/>
      </w:pPr>
      <w:r>
        <w:rPr>
          <w:lang w:val="ru-RU" w:eastAsia="ru-RU" w:bidi="ru-RU"/>
          <w:sz w:val="24"/>
          <w:szCs w:val="24"/>
          <w:w w:val="100"/>
          <w:color w:val="000000"/>
          <w:position w:val="0"/>
        </w:rPr>
        <w:t>Хрущ Виктории Дановны - врио начальника отдела контроля закупок, члена Комиссии,</w:t>
      </w:r>
    </w:p>
    <w:p>
      <w:pPr>
        <w:pStyle w:val="Style8"/>
        <w:widowControl w:val="0"/>
        <w:keepNext/>
        <w:keepLines/>
        <w:shd w:val="clear" w:color="auto" w:fill="auto"/>
        <w:bidi w:val="0"/>
        <w:spacing w:before="0" w:after="0" w:line="360" w:lineRule="exact"/>
        <w:ind w:left="0" w:right="420" w:firstLine="0"/>
      </w:pPr>
      <w:bookmarkStart w:id="1" w:name="bookmark1"/>
      <w:r>
        <w:rPr>
          <w:lang w:val="ru-RU" w:eastAsia="ru-RU" w:bidi="ru-RU"/>
          <w:w w:val="100"/>
          <w:color w:val="000000"/>
          <w:position w:val="0"/>
        </w:rPr>
        <w:t>078901</w:t>
      </w:r>
      <w:bookmarkEnd w:id="1"/>
    </w:p>
    <w:p>
      <w:pPr>
        <w:pStyle w:val="Style3"/>
        <w:widowControl w:val="0"/>
        <w:keepNext w:val="0"/>
        <w:keepLines w:val="0"/>
        <w:shd w:val="clear" w:color="auto" w:fill="auto"/>
        <w:bidi w:val="0"/>
        <w:jc w:val="both"/>
        <w:spacing w:before="0" w:after="0" w:line="355" w:lineRule="exact"/>
        <w:ind w:left="20" w:right="20" w:firstLine="700"/>
      </w:pPr>
      <w:r>
        <w:rPr>
          <w:lang w:val="ru-RU" w:eastAsia="ru-RU" w:bidi="ru-RU"/>
          <w:sz w:val="24"/>
          <w:szCs w:val="24"/>
          <w:w w:val="100"/>
          <w:color w:val="000000"/>
          <w:position w:val="0"/>
        </w:rPr>
        <w:t>Пашедко Анны Дмитриевны - главного специалиста-эксперта отдела контроля закупок, члена Комиссии,</w:t>
      </w:r>
    </w:p>
    <w:p>
      <w:pPr>
        <w:pStyle w:val="Style10"/>
        <w:widowControl w:val="0"/>
        <w:keepNext w:val="0"/>
        <w:keepLines w:val="0"/>
        <w:shd w:val="clear" w:color="auto" w:fill="auto"/>
        <w:bidi w:val="0"/>
        <w:spacing w:before="0" w:after="0" w:line="240" w:lineRule="exact"/>
        <w:ind w:left="20" w:right="0" w:firstLine="700"/>
      </w:pPr>
      <w:r>
        <w:rPr>
          <w:lang w:val="ru-RU" w:eastAsia="ru-RU" w:bidi="ru-RU"/>
          <w:sz w:val="24"/>
          <w:szCs w:val="24"/>
          <w:w w:val="100"/>
          <w:color w:val="000000"/>
          <w:position w:val="0"/>
        </w:rPr>
        <w:t>с участием представителей (по доверенностям):</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color w:val="000000"/>
          <w:position w:val="0"/>
        </w:rPr>
        <w:t xml:space="preserve">Государственного бюджетного учреждения здравоохранения </w:t>
      </w:r>
      <w:r>
        <w:rPr>
          <w:rStyle w:val="CharStyle12"/>
        </w:rPr>
        <w:t xml:space="preserve">Ленинградская областная клиническая больница (далее — Заказчик): Бемлер </w:t>
      </w:r>
      <w:r>
        <w:rPr>
          <w:lang w:val="ru-RU" w:eastAsia="ru-RU" w:bidi="ru-RU"/>
          <w:sz w:val="24"/>
          <w:szCs w:val="24"/>
          <w:w w:val="100"/>
          <w:color w:val="000000"/>
          <w:position w:val="0"/>
        </w:rPr>
        <w:t>Юлианы Викторовны,</w:t>
      </w:r>
    </w:p>
    <w:p>
      <w:pPr>
        <w:pStyle w:val="Style3"/>
        <w:widowControl w:val="0"/>
        <w:keepNext w:val="0"/>
        <w:keepLines w:val="0"/>
        <w:shd w:val="clear" w:color="auto" w:fill="auto"/>
        <w:bidi w:val="0"/>
        <w:jc w:val="both"/>
        <w:spacing w:before="0" w:after="0" w:line="341" w:lineRule="exact"/>
        <w:ind w:left="20" w:right="20" w:firstLine="700"/>
      </w:pPr>
      <w:r>
        <w:rPr>
          <w:lang w:val="ru-RU" w:eastAsia="ru-RU" w:bidi="ru-RU"/>
          <w:sz w:val="24"/>
          <w:szCs w:val="24"/>
          <w:w w:val="100"/>
          <w:color w:val="000000"/>
          <w:position w:val="0"/>
        </w:rPr>
        <w:t>Комитета государственного заказа Ленинградской области (далее - Уполномоченный орган): Михайловой Инны Геннадьевны, Соколовского Сергея Юльевича,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отсутствие представителей ООО «Альтера» (далее - Заявитель, Общество), уведомленных о времени и месте рассмотрения жалобы надлежащим образом,</w:t>
      </w:r>
    </w:p>
    <w:p>
      <w:pPr>
        <w:pStyle w:val="Style3"/>
        <w:widowControl w:val="0"/>
        <w:keepNext w:val="0"/>
        <w:keepLines w:val="0"/>
        <w:shd w:val="clear" w:color="auto" w:fill="auto"/>
        <w:bidi w:val="0"/>
        <w:jc w:val="both"/>
        <w:spacing w:before="0" w:after="362" w:line="317" w:lineRule="exact"/>
        <w:ind w:left="20" w:right="20" w:firstLine="700"/>
      </w:pPr>
      <w:r>
        <w:rPr>
          <w:lang w:val="ru-RU" w:eastAsia="ru-RU" w:bidi="ru-RU"/>
          <w:sz w:val="24"/>
          <w:szCs w:val="24"/>
          <w:w w:val="100"/>
          <w:color w:val="000000"/>
          <w:position w:val="0"/>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Положением о территориальном органе Федеральной антимонопольной службы, утвержденным приказом ФАС России от 23.07.2015 </w:t>
      </w:r>
      <w:r>
        <w:rPr>
          <w:lang w:val="en-US" w:eastAsia="en-US" w:bidi="en-US"/>
          <w:sz w:val="24"/>
          <w:szCs w:val="24"/>
          <w:w w:val="100"/>
          <w:color w:val="000000"/>
          <w:position w:val="0"/>
        </w:rPr>
        <w:t xml:space="preserve">N </w:t>
      </w:r>
      <w:r>
        <w:rPr>
          <w:lang w:val="ru-RU" w:eastAsia="ru-RU" w:bidi="ru-RU"/>
          <w:sz w:val="24"/>
          <w:szCs w:val="24"/>
          <w:w w:val="100"/>
          <w:color w:val="000000"/>
          <w:position w:val="0"/>
        </w:rPr>
        <w:t>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left"/>
        <w:spacing w:before="0" w:after="306" w:line="240" w:lineRule="exact"/>
        <w:ind w:left="4180" w:right="0" w:firstLine="0"/>
      </w:pPr>
      <w:r>
        <w:rPr>
          <w:lang w:val="ru-RU" w:eastAsia="ru-RU" w:bidi="ru-RU"/>
          <w:sz w:val="24"/>
          <w:szCs w:val="24"/>
          <w:w w:val="10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В Ленинградское УФАС России поступила жалоба Заявителя (вх. 10048 от 30.10.2017) на действия Заказчика, Уполномоченного органа при проведении </w:t>
      </w:r>
      <w:r>
        <w:rPr>
          <w:rStyle w:val="CharStyle12"/>
        </w:rPr>
        <w:t xml:space="preserve">электронного аукциона на право заключения контракта на оказание услуг по </w:t>
      </w:r>
      <w:r>
        <w:rPr>
          <w:lang w:val="ru-RU" w:eastAsia="ru-RU" w:bidi="ru-RU"/>
          <w:sz w:val="24"/>
          <w:szCs w:val="24"/>
          <w:w w:val="100"/>
          <w:color w:val="000000"/>
          <w:position w:val="0"/>
        </w:rPr>
        <w:t>сервисному техническому обслуживанию и текущему ремонту систем вентиляции и кондиционирования воздуха на 2018 год (далее - аукцион).</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Извещение о проведении электронного аукциона, документация об аукционе размещены Уполномоченным органом 19.10.2017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Начальная (максимальная) цена контракта 6 702 400,00 рублей.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Источник финансирования - Средства бюджетных учреждений.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Из жалобы Заявителя следует, что Заказчиком, Уполномоченным органом при формировании аукционной документации допущены нарушения Закона о </w:t>
      </w:r>
      <w:r>
        <w:rPr>
          <w:rStyle w:val="CharStyle11"/>
        </w:rPr>
        <w:t xml:space="preserve">контрактной системе в части занижения начальной (максимальной) цены </w:t>
      </w:r>
      <w:r>
        <w:rPr>
          <w:rStyle w:val="CharStyle13"/>
        </w:rPr>
        <w:t>контракта с целью ограничения количества участников закупки.</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Более подробно позиция Заявителя изложена в жалобе, файл с которой размещен на официальном сайте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Представители Заказчика, Уполномоченного органа возражали против доводов Заявителя и просили признать жалобу необоснованной.</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sz w:val="24"/>
          <w:szCs w:val="24"/>
          <w:w w:val="100"/>
          <w:color w:val="000000"/>
          <w:position w:val="0"/>
        </w:rPr>
        <w:t>На момент рассмотрения жалобы контракт Заказчиком не заключен.</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Рассмотрев представленные документы, заслушав доводы представителей сторон, Комиссия пришла к следующим выводам.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(часть 1 статьи 2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Такое обоснование должно быть составлено по правилам, определенным статьей 22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Как следует из материалов дела, обоснование начальной (максимально) цены в аукционной документации присутствует. Заказчик при обосновании начальной (максимальной) цены контракта воспользовался методом сопоставимых рыночных цен (анализа рынка).</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Следовательно, довод Заявителя относительно отсутствия обоснования начальной (максимальной) цены контракта в документации не нашел своего подтверждения.</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Относительно ненадлежащего расчета начальной (максимальной) цены контракта Комиссия сообщает следующее.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пунктом 1 статьи 269.2 Бюджетного кодекса Российской Федерации контроль за соблюдением бюджетного законодательства Российской Федерации и иных нормативных правовых актов, регулирующих бюджетные правоотношения, относится к полномочиям органов внутреннего государственного (муниципального) финансового контроля.</w:t>
      </w:r>
      <w:r>
        <w:br w:type="page"/>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силу пункта 3 части 8 статьи 99 Закона о контрактной системе органы внутреннего государственного (муниципального) финансового контроля осуществляют контроль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пункту 2 части 9 статьи 99 Закона о контрактной системе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Законом о контрактной системе, Бюджетным кодексом Российской Федерации и принимаемыми в соответствии с ними нормативными правовыми актами Российской Федерации, контроль в сфере закупок в соответствии с частью 8 настоящей статьи осуществляется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pPr>
        <w:pStyle w:val="Style3"/>
        <w:widowControl w:val="0"/>
        <w:keepNext w:val="0"/>
        <w:keepLines w:val="0"/>
        <w:shd w:val="clear" w:color="auto" w:fill="auto"/>
        <w:bidi w:val="0"/>
        <w:jc w:val="both"/>
        <w:spacing w:before="0" w:after="233" w:line="322" w:lineRule="exact"/>
        <w:ind w:left="20" w:right="20" w:firstLine="700"/>
      </w:pPr>
      <w:r>
        <w:rPr>
          <w:lang w:val="ru-RU" w:eastAsia="ru-RU" w:bidi="ru-RU"/>
          <w:sz w:val="24"/>
          <w:szCs w:val="24"/>
          <w:w w:val="100"/>
          <w:color w:val="000000"/>
          <w:position w:val="0"/>
        </w:rPr>
        <w:t>Таким образом, рассмотрение вопроса о неверном расчете начальной (максимальной) цены контракта, ее необоснованности, выходит за рамки компетенции Федеральной антимонопольной службы.</w:t>
      </w:r>
    </w:p>
    <w:p>
      <w:pPr>
        <w:pStyle w:val="Style3"/>
        <w:widowControl w:val="0"/>
        <w:keepNext w:val="0"/>
        <w:keepLines w:val="0"/>
        <w:shd w:val="clear" w:color="auto" w:fill="auto"/>
        <w:bidi w:val="0"/>
        <w:jc w:val="both"/>
        <w:spacing w:before="0" w:after="313" w:line="331" w:lineRule="exact"/>
        <w:ind w:left="20" w:right="20" w:firstLine="700"/>
      </w:pPr>
      <w:r>
        <w:rPr>
          <w:lang w:val="ru-RU" w:eastAsia="ru-RU" w:bidi="ru-RU"/>
          <w:sz w:val="24"/>
          <w:szCs w:val="24"/>
          <w:w w:val="100"/>
          <w:color w:val="000000"/>
          <w:position w:val="0"/>
        </w:rPr>
        <w:t>На основании изложенного и руководствуясь частью 8 статьи 106 Закона о контрактной системе, Комиссия</w:t>
      </w:r>
    </w:p>
    <w:p>
      <w:pPr>
        <w:pStyle w:val="Style3"/>
        <w:widowControl w:val="0"/>
        <w:keepNext w:val="0"/>
        <w:keepLines w:val="0"/>
        <w:shd w:val="clear" w:color="auto" w:fill="auto"/>
        <w:bidi w:val="0"/>
        <w:jc w:val="left"/>
        <w:spacing w:before="0" w:after="367" w:line="240" w:lineRule="exact"/>
        <w:ind w:left="4560" w:right="0" w:firstLine="0"/>
      </w:pPr>
      <w:r>
        <w:rPr>
          <w:lang w:val="ru-RU" w:eastAsia="ru-RU" w:bidi="ru-RU"/>
          <w:sz w:val="24"/>
          <w:szCs w:val="24"/>
          <w:w w:val="100"/>
          <w:color w:val="000000"/>
          <w:position w:val="0"/>
        </w:rPr>
        <w:t>РЕШИЛА:</w:t>
      </w:r>
    </w:p>
    <w:p>
      <w:pPr>
        <w:pStyle w:val="Style3"/>
        <w:widowControl w:val="0"/>
        <w:keepNext w:val="0"/>
        <w:keepLines w:val="0"/>
        <w:shd w:val="clear" w:color="auto" w:fill="auto"/>
        <w:bidi w:val="0"/>
        <w:jc w:val="center"/>
        <w:spacing w:before="0" w:after="295" w:line="240" w:lineRule="exact"/>
        <w:ind w:left="20" w:right="0" w:firstLine="0"/>
      </w:pPr>
      <w:r>
        <w:rPr>
          <w:lang w:val="ru-RU" w:eastAsia="ru-RU" w:bidi="ru-RU"/>
          <w:sz w:val="24"/>
          <w:szCs w:val="24"/>
          <w:w w:val="100"/>
          <w:color w:val="000000"/>
          <w:position w:val="0"/>
        </w:rPr>
        <w:t>Признать жалобу ООО «Альтера» необоснованной.</w:t>
      </w:r>
    </w:p>
    <w:p>
      <w:pPr>
        <w:pStyle w:val="Style3"/>
        <w:framePr w:h="237" w:wrap="around" w:vAnchor="text" w:hAnchor="margin" w:x="7382" w:y="1607"/>
        <w:widowControl w:val="0"/>
        <w:keepNext w:val="0"/>
        <w:keepLines w:val="0"/>
        <w:shd w:val="clear" w:color="auto" w:fill="auto"/>
        <w:bidi w:val="0"/>
        <w:jc w:val="left"/>
        <w:spacing w:before="0" w:after="0" w:line="230" w:lineRule="exact"/>
        <w:ind w:left="100" w:right="0" w:firstLine="0"/>
      </w:pPr>
      <w:r>
        <w:rPr>
          <w:rStyle w:val="CharStyle4"/>
          <w:spacing w:val="10"/>
        </w:rPr>
        <w:t>А.А. Журавлев</w:t>
      </w:r>
    </w:p>
    <w:p>
      <w:pPr>
        <w:pStyle w:val="Style3"/>
        <w:widowControl w:val="0"/>
        <w:keepNext w:val="0"/>
        <w:keepLines w:val="0"/>
        <w:shd w:val="clear" w:color="auto" w:fill="auto"/>
        <w:bidi w:val="0"/>
        <w:jc w:val="both"/>
        <w:spacing w:before="0" w:after="977" w:line="336" w:lineRule="exact"/>
        <w:ind w:left="20" w:right="20" w:firstLine="700"/>
      </w:pPr>
      <w:r>
        <w:rPr>
          <w:lang w:val="ru-RU" w:eastAsia="ru-RU" w:bidi="ru-RU"/>
          <w:sz w:val="24"/>
          <w:szCs w:val="24"/>
          <w:w w:val="100"/>
          <w:color w:val="000000"/>
          <w:position w:val="0"/>
        </w:rPr>
        <w:t>Настоящее решение может быть обжаловано в судебном порядке в течение трех месяцев со дня принятия.</w:t>
      </w:r>
    </w:p>
    <w:p>
      <w:pPr>
        <w:pStyle w:val="Style3"/>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836" w:left="1088" w:right="790" w:bottom="621" w:header="0" w:footer="3" w:gutter="0"/>
          <w:rtlGutter w:val="0"/>
          <w:cols w:space="720"/>
          <w:noEndnote/>
          <w:docGrid w:linePitch="360"/>
        </w:sectPr>
      </w:pPr>
      <w:r>
        <w:rPr>
          <w:lang w:val="ru-RU" w:eastAsia="ru-RU" w:bidi="ru-RU"/>
          <w:sz w:val="24"/>
          <w:szCs w:val="24"/>
          <w:w w:val="100"/>
          <w:color w:val="000000"/>
          <w:position w:val="0"/>
        </w:rPr>
        <w:t>Председатель Комиссии</w:t>
      </w: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0" w:wrap="around" w:hAnchor="margin" w:x="7617" w:y="11247"/>
        <w:widowControl w:val="0"/>
        <w:keepNext w:val="0"/>
        <w:keepLines w:val="0"/>
        <w:shd w:val="clear" w:color="auto" w:fill="auto"/>
        <w:bidi w:val="0"/>
        <w:jc w:val="left"/>
        <w:spacing w:before="0" w:after="0" w:line="230" w:lineRule="exact"/>
        <w:ind w:left="100" w:right="0" w:firstLine="0"/>
      </w:pPr>
      <w:r>
        <w:rPr>
          <w:rStyle w:val="CharStyle4"/>
          <w:spacing w:val="10"/>
        </w:rPr>
        <w:t>В.Д. Хрущ</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color w:val="000000"/>
          <w:position w:val="0"/>
        </w:rPr>
        <w:t>Члены Комиссии</w:t>
      </w:r>
    </w:p>
    <w:sectPr>
      <w:type w:val="continuous"/>
      <w:pgSz w:w="11906" w:h="16838"/>
      <w:pgMar w:top="1862" w:left="1160" w:right="8418" w:bottom="27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character" w:customStyle="1" w:styleId="CharStyle5">
    <w:name w:val="Основной текст_"/>
    <w:basedOn w:val="DefaultParagraphFont"/>
    <w:link w:val="Style3"/>
    <w:rPr>
      <w:b w:val="0"/>
      <w:bCs w:val="0"/>
      <w:i w:val="0"/>
      <w:iCs w:val="0"/>
      <w:u w:val="none"/>
      <w:strike w:val="0"/>
      <w:smallCaps w:val="0"/>
      <w:rFonts w:ascii="Times New Roman" w:eastAsia="Times New Roman" w:hAnsi="Times New Roman" w:cs="Times New Roman"/>
      <w:spacing w:val="10"/>
    </w:rPr>
  </w:style>
  <w:style w:type="character" w:customStyle="1" w:styleId="CharStyle7">
    <w:name w:val="Заголовок №1_"/>
    <w:basedOn w:val="DefaultParagraphFont"/>
    <w:link w:val="Style6"/>
    <w:rPr>
      <w:b w:val="0"/>
      <w:bCs w:val="0"/>
      <w:i w:val="0"/>
      <w:iCs w:val="0"/>
      <w:u w:val="none"/>
      <w:strike w:val="0"/>
      <w:smallCaps w:val="0"/>
      <w:sz w:val="38"/>
      <w:szCs w:val="38"/>
      <w:rFonts w:ascii="Segoe UI" w:eastAsia="Segoe UI" w:hAnsi="Segoe UI" w:cs="Segoe UI"/>
      <w:spacing w:val="-20"/>
    </w:rPr>
  </w:style>
  <w:style w:type="character" w:customStyle="1" w:styleId="CharStyle9">
    <w:name w:val="Заголовок №1 (2)_"/>
    <w:basedOn w:val="DefaultParagraphFont"/>
    <w:link w:val="Style8"/>
    <w:rPr>
      <w:b w:val="0"/>
      <w:bCs w:val="0"/>
      <w:i w:val="0"/>
      <w:iCs w:val="0"/>
      <w:u w:val="none"/>
      <w:strike w:val="0"/>
      <w:smallCaps w:val="0"/>
      <w:sz w:val="36"/>
      <w:szCs w:val="36"/>
      <w:rFonts w:ascii="Times New Roman" w:eastAsia="Times New Roman" w:hAnsi="Times New Roman" w:cs="Times New Roman"/>
      <w:spacing w:val="70"/>
    </w:rPr>
  </w:style>
  <w:style w:type="character" w:customStyle="1" w:styleId="CharStyle11">
    <w:name w:val="Основной текст (2)_"/>
    <w:basedOn w:val="DefaultParagraphFont"/>
    <w:link w:val="Style10"/>
    <w:rPr>
      <w:b w:val="0"/>
      <w:bCs w:val="0"/>
      <w:i w:val="0"/>
      <w:iCs w:val="0"/>
      <w:u w:val="none"/>
      <w:strike w:val="0"/>
      <w:smallCaps w:val="0"/>
      <w:rFonts w:ascii="Times New Roman" w:eastAsia="Times New Roman" w:hAnsi="Times New Roman" w:cs="Times New Roman"/>
      <w:spacing w:val="10"/>
    </w:rPr>
  </w:style>
  <w:style w:type="character" w:customStyle="1" w:styleId="CharStyle12">
    <w:name w:val="Основной текст"/>
    <w:basedOn w:val="CharStyle5"/>
    <w:rPr>
      <w:lang w:val="ru-RU" w:eastAsia="ru-RU" w:bidi="ru-RU"/>
      <w:sz w:val="24"/>
      <w:szCs w:val="24"/>
      <w:w w:val="100"/>
      <w:color w:val="000000"/>
      <w:position w:val="0"/>
    </w:rPr>
  </w:style>
  <w:style w:type="character" w:customStyle="1" w:styleId="CharStyle13">
    <w:name w:val="Основной текст (2)"/>
    <w:basedOn w:val="CharStyle11"/>
    <w:rPr>
      <w:lang w:val="ru-RU" w:eastAsia="ru-RU" w:bidi="ru-RU"/>
      <w:sz w:val="24"/>
      <w:szCs w:val="24"/>
      <w:w w:val="100"/>
      <w:color w:val="000000"/>
      <w:position w:val="0"/>
    </w:rPr>
  </w:style>
  <w:style w:type="paragraph" w:customStyle="1" w:styleId="Style3">
    <w:name w:val="Основной текст"/>
    <w:basedOn w:val="Normal"/>
    <w:link w:val="CharStyle5"/>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6">
    <w:name w:val="Заголовок №1"/>
    <w:basedOn w:val="Normal"/>
    <w:link w:val="CharStyle7"/>
    <w:pPr>
      <w:widowControl w:val="0"/>
      <w:shd w:val="clear" w:color="auto" w:fill="FFFFFF"/>
      <w:outlineLvl w:val="0"/>
      <w:spacing w:before="60" w:after="60" w:line="0" w:lineRule="exact"/>
    </w:pPr>
    <w:rPr>
      <w:b w:val="0"/>
      <w:bCs w:val="0"/>
      <w:i w:val="0"/>
      <w:iCs w:val="0"/>
      <w:u w:val="none"/>
      <w:strike w:val="0"/>
      <w:smallCaps w:val="0"/>
      <w:sz w:val="38"/>
      <w:szCs w:val="38"/>
      <w:rFonts w:ascii="Segoe UI" w:eastAsia="Segoe UI" w:hAnsi="Segoe UI" w:cs="Segoe UI"/>
      <w:spacing w:val="-20"/>
    </w:rPr>
  </w:style>
  <w:style w:type="paragraph" w:customStyle="1" w:styleId="Style8">
    <w:name w:val="Заголовок №1 (2)"/>
    <w:basedOn w:val="Normal"/>
    <w:link w:val="CharStyle9"/>
    <w:pPr>
      <w:widowControl w:val="0"/>
      <w:shd w:val="clear" w:color="auto" w:fill="FFFFFF"/>
      <w:jc w:val="right"/>
      <w:outlineLvl w:val="0"/>
      <w:spacing w:before="240" w:line="0" w:lineRule="exact"/>
    </w:pPr>
    <w:rPr>
      <w:b w:val="0"/>
      <w:bCs w:val="0"/>
      <w:i w:val="0"/>
      <w:iCs w:val="0"/>
      <w:u w:val="none"/>
      <w:strike w:val="0"/>
      <w:smallCaps w:val="0"/>
      <w:sz w:val="36"/>
      <w:szCs w:val="36"/>
      <w:rFonts w:ascii="Times New Roman" w:eastAsia="Times New Roman" w:hAnsi="Times New Roman" w:cs="Times New Roman"/>
      <w:spacing w:val="70"/>
    </w:rPr>
  </w:style>
  <w:style w:type="paragraph" w:customStyle="1" w:styleId="Style10">
    <w:name w:val="Основной текст (2)"/>
    <w:basedOn w:val="Normal"/>
    <w:link w:val="CharStyle11"/>
    <w:pPr>
      <w:widowControl w:val="0"/>
      <w:shd w:val="clear" w:color="auto" w:fill="FFFFFF"/>
      <w:jc w:val="both"/>
      <w:spacing w:after="60" w:line="0" w:lineRule="exact"/>
    </w:pPr>
    <w:rPr>
      <w:b w:val="0"/>
      <w:bCs w:val="0"/>
      <w:i w:val="0"/>
      <w:iCs w:val="0"/>
      <w:u w:val="none"/>
      <w:strike w:val="0"/>
      <w:smallCaps w:val="0"/>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