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40" w:h="2350" w:wrap="around" w:hAnchor="margin" w:x="-5" w:y="1117"/>
        <w:widowControl w:val="0"/>
        <w:keepNext w:val="0"/>
        <w:keepLines w:val="0"/>
        <w:shd w:val="clear" w:color="auto" w:fill="auto"/>
        <w:bidi w:val="0"/>
        <w:spacing w:before="0" w:after="180"/>
        <w:ind w:left="0" w:right="0" w:firstLine="0"/>
      </w:pPr>
      <w:r>
        <w:rPr>
          <w:rStyle w:val="CharStyle4"/>
          <w:b/>
          <w:bCs/>
          <w:spacing w:val="0"/>
        </w:rPr>
        <w:t>ФЕДЕРАЛЬНАЯ АНТИМОНОПОЛЬНАЯ СЛУЖБА</w:t>
      </w:r>
    </w:p>
    <w:p>
      <w:pPr>
        <w:pStyle w:val="Style3"/>
        <w:framePr w:w="4840" w:h="2350" w:wrap="around" w:hAnchor="margin" w:x="-5" w:y="1117"/>
        <w:widowControl w:val="0"/>
        <w:keepNext w:val="0"/>
        <w:keepLines w:val="0"/>
        <w:shd w:val="clear" w:color="auto" w:fill="auto"/>
        <w:bidi w:val="0"/>
        <w:spacing w:before="0" w:after="0"/>
        <w:ind w:left="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840" w:h="2350" w:wrap="around" w:hAnchor="margin" w:x="-5" w:y="1117"/>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spacing w:before="1079"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320" w:firstLine="0"/>
      </w:pPr>
      <w:r>
        <w:rPr>
          <w:lang w:val="ru-RU" w:eastAsia="ru-RU" w:bidi="ru-RU"/>
          <w:w w:val="100"/>
          <w:spacing w:val="0"/>
          <w:color w:val="000000"/>
          <w:position w:val="0"/>
        </w:rPr>
        <w:t>Государственное унитарное предприятие Республики Крым «Крымгазсети»</w:t>
      </w:r>
    </w:p>
    <w:p>
      <w:pPr>
        <w:pStyle w:val="Style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295011, Республика Крым,</w:t>
      </w:r>
    </w:p>
    <w:p>
      <w:pPr>
        <w:pStyle w:val="Style7"/>
        <w:framePr w:w="2790" w:h="887" w:wrap="around" w:vAnchor="text" w:hAnchor="margin" w:x="-78" w:y="-1"/>
        <w:widowControl w:val="0"/>
        <w:keepNext w:val="0"/>
        <w:keepLines w:val="0"/>
        <w:shd w:val="clear" w:color="auto" w:fill="auto"/>
        <w:bidi w:val="0"/>
        <w:spacing w:before="0" w:after="0" w:line="442" w:lineRule="exact"/>
        <w:ind w:left="0" w:right="120" w:firstLine="0"/>
      </w:pPr>
      <w:r>
        <w:rPr>
          <w:rStyle w:val="CharStyle8"/>
          <w:spacing w:val="0"/>
        </w:rPr>
        <w:t>02.11.2017 №06/12575 На №б/н от 30.10.2017</w:t>
      </w:r>
    </w:p>
    <w:p>
      <w:pPr>
        <w:pStyle w:val="Style7"/>
        <w:widowControl w:val="0"/>
        <w:keepNext w:val="0"/>
        <w:keepLines w:val="0"/>
        <w:shd w:val="clear" w:color="auto" w:fill="auto"/>
        <w:bidi w:val="0"/>
        <w:jc w:val="left"/>
        <w:spacing w:before="0" w:after="240"/>
        <w:ind w:left="2260" w:right="0" w:firstLine="0"/>
      </w:pPr>
      <w:r>
        <w:rPr>
          <w:lang w:val="ru-RU" w:eastAsia="ru-RU" w:bidi="ru-RU"/>
          <w:w w:val="100"/>
          <w:spacing w:val="0"/>
          <w:color w:val="000000"/>
          <w:position w:val="0"/>
        </w:rPr>
        <w:t>г. Симферополь, ул. Училищная, д.42А</w:t>
      </w:r>
    </w:p>
    <w:p>
      <w:pPr>
        <w:pStyle w:val="Style7"/>
        <w:numPr>
          <w:ilvl w:val="0"/>
          <w:numId w:val="1"/>
        </w:numPr>
        <w:widowControl w:val="0"/>
        <w:keepNext w:val="0"/>
        <w:keepLines w:val="0"/>
        <w:shd w:val="clear" w:color="auto" w:fill="auto"/>
        <w:bidi w:val="0"/>
        <w:jc w:val="left"/>
        <w:spacing w:before="0" w:after="0"/>
        <w:ind w:left="226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460" w:firstLine="0"/>
      </w:pPr>
      <w:r>
        <w:rPr>
          <w:lang w:val="ru-RU" w:eastAsia="ru-RU" w:bidi="ru-RU"/>
          <w:w w:val="100"/>
          <w:spacing w:val="0"/>
          <w:color w:val="000000"/>
          <w:position w:val="0"/>
        </w:rPr>
        <w:t>Общество с ограниченной ответственно стью «Ро стовОблСтрой» 344114, г. Ростов-на-Дону, пр. Королева,</w:t>
      </w:r>
    </w:p>
    <w:p>
      <w:pPr>
        <w:pStyle w:val="Style7"/>
        <w:widowControl w:val="0"/>
        <w:keepNext w:val="0"/>
        <w:keepLines w:val="0"/>
        <w:shd w:val="clear" w:color="auto" w:fill="auto"/>
        <w:bidi w:val="0"/>
        <w:jc w:val="left"/>
        <w:spacing w:before="0" w:after="240"/>
        <w:ind w:left="4980" w:right="0" w:firstLine="0"/>
      </w:pPr>
      <w:r>
        <w:rPr>
          <w:lang w:val="ru-RU" w:eastAsia="ru-RU" w:bidi="ru-RU"/>
          <w:w w:val="100"/>
          <w:spacing w:val="0"/>
          <w:color w:val="000000"/>
          <w:position w:val="0"/>
        </w:rPr>
        <w:t>д.29, корп.В, Литер А, оф.1В</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4980" w:right="460" w:firstLine="0"/>
      </w:pPr>
      <w:r>
        <w:rPr>
          <w:lang w:val="ru-RU" w:eastAsia="ru-RU" w:bidi="ru-RU"/>
          <w:w w:val="100"/>
          <w:spacing w:val="0"/>
          <w:color w:val="000000"/>
          <w:position w:val="0"/>
        </w:rPr>
        <w:t>ОАО «Единая электронная торговая площадка»</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236"/>
        <w:ind w:left="49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109"/>
        <w:ind w:left="20" w:right="0" w:firstLine="0"/>
      </w:pPr>
      <w:r>
        <w:rPr>
          <w:lang w:val="ru-RU" w:eastAsia="ru-RU" w:bidi="ru-RU"/>
          <w:w w:val="100"/>
          <w:spacing w:val="0"/>
          <w:color w:val="000000"/>
          <w:position w:val="0"/>
        </w:rPr>
        <w:t>Решение по делу №06/4134-17 о нарушении законодательства Российской Федерации о контрактной системе в сфере закупок</w:t>
      </w:r>
    </w:p>
    <w:p>
      <w:pPr>
        <w:pStyle w:val="Style7"/>
        <w:numPr>
          <w:ilvl w:val="0"/>
          <w:numId w:val="3"/>
        </w:numPr>
        <w:tabs>
          <w:tab w:leader="none" w:pos="8020" w:val="left"/>
          <w:tab w:leader="none" w:pos="8066" w:val="left"/>
        </w:tabs>
        <w:widowControl w:val="0"/>
        <w:keepNext w:val="0"/>
        <w:keepLines w:val="0"/>
        <w:shd w:val="clear" w:color="auto" w:fill="auto"/>
        <w:bidi w:val="0"/>
        <w:spacing w:before="0" w:after="13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2"/>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5"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при участии представителя интересов Заказчика А. С. Титова (по доверенности),</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30.10.2017 (вх. №4733/09 от 30.10.2017) на действия Единой комиссии Заказчика при проведении электронного аукциона</w:t>
      </w:r>
      <w:r>
        <w:br w:type="page"/>
      </w:r>
    </w:p>
    <w:p>
      <w:pPr>
        <w:pStyle w:val="Style7"/>
        <w:tabs>
          <w:tab w:leader="none" w:pos="10206" w:val="righ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«Поставка полимерных изделий на строительство подводящего газопровода к с. Кринички» (номер извещения 0575200000417000222)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spacing w:before="0" w:after="10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Заказчика при проведении Аукциона.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выразившимися в отказе Заявителю в допуске к участию в Аукционе по результатам рассмотрения первой части заявки Заявителя.</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Крымским </w:t>
      </w:r>
      <w:r>
        <w:rPr>
          <w:rStyle w:val="CharStyle12"/>
        </w:rPr>
        <w:t>УФАС</w:t>
      </w:r>
      <w:r>
        <w:rPr>
          <w:lang w:val="ru-RU" w:eastAsia="ru-RU" w:bidi="ru-RU"/>
          <w:w w:val="100"/>
          <w:spacing w:val="0"/>
          <w:color w:val="000000"/>
          <w:position w:val="0"/>
        </w:rPr>
        <w:t xml:space="preserve"> России принято уведомление о поступлении жалобы и приостановлении торгов от 30.10.2017 № 06/12376,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не согласился с доводами Заявителя и сообщил, что при проведении Аукциона Заказчик и Единая комиссия Заказчика действовали в соответствии с положениями Закона о контрактной системе.</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17.10.2017;</w:t>
      </w:r>
    </w:p>
    <w:p>
      <w:pPr>
        <w:pStyle w:val="Style7"/>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- 2 526 699,36 рублей;</w:t>
      </w:r>
    </w:p>
    <w:p>
      <w:pPr>
        <w:pStyle w:val="Style7"/>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25.10.2017 08:00, дата окончания срока рассмотрения первых частей заявок участников: 27.10.2017, дата проведения Аукциона: 30.10.2017;</w:t>
      </w:r>
    </w:p>
    <w:p>
      <w:pPr>
        <w:pStyle w:val="Style7"/>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на участие в Аукционе подано 7 заявок, из них по результатам рассмотрения первых частей заявок 6 заявок отклонены;</w:t>
      </w:r>
    </w:p>
    <w:p>
      <w:pPr>
        <w:pStyle w:val="Style7"/>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единственная заявка участника Аукциона признана соответствующей документации об Аукционе;</w:t>
      </w:r>
    </w:p>
    <w:p>
      <w:pPr>
        <w:pStyle w:val="Style7"/>
        <w:numPr>
          <w:ilvl w:val="0"/>
          <w:numId w:val="5"/>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победителем Аукциона признано ООО «КРЫМГАЗРЕСУРС»;</w:t>
      </w:r>
    </w:p>
    <w:p>
      <w:pPr>
        <w:pStyle w:val="Style7"/>
        <w:numPr>
          <w:ilvl w:val="0"/>
          <w:numId w:val="5"/>
        </w:numPr>
        <w:widowControl w:val="0"/>
        <w:keepNext w:val="0"/>
        <w:keepLines w:val="0"/>
        <w:shd w:val="clear" w:color="auto" w:fill="auto"/>
        <w:bidi w:val="0"/>
        <w:spacing w:before="0" w:after="180" w:line="322"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7"/>
        <w:numPr>
          <w:ilvl w:val="0"/>
          <w:numId w:val="7"/>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В качестве довода жалобы Заявитель указывает на то, что Единая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сведений о порядковом номере заявки на участие в Аукционе.</w:t>
      </w:r>
    </w:p>
    <w:p>
      <w:pPr>
        <w:pStyle w:val="Style7"/>
        <w:widowControl w:val="0"/>
        <w:keepNext w:val="0"/>
        <w:keepLines w:val="0"/>
        <w:shd w:val="clear" w:color="auto" w:fill="auto"/>
        <w:bidi w:val="0"/>
        <w:spacing w:before="0" w:after="180" w:line="322" w:lineRule="exact"/>
        <w:ind w:left="20" w:right="0" w:firstLine="860"/>
      </w:pPr>
      <w:r>
        <w:rPr>
          <w:lang w:val="ru-RU" w:eastAsia="ru-RU" w:bidi="ru-RU"/>
          <w:w w:val="100"/>
          <w:spacing w:val="0"/>
          <w:color w:val="000000"/>
          <w:position w:val="0"/>
        </w:rPr>
        <w:t>При таких обстоятельствах довод Заявителя не является необоснованным.</w:t>
      </w:r>
    </w:p>
    <w:p>
      <w:pPr>
        <w:pStyle w:val="Style7"/>
        <w:numPr>
          <w:ilvl w:val="0"/>
          <w:numId w:val="7"/>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w:t>
      </w:r>
    </w:p>
    <w:p>
      <w:pPr>
        <w:pStyle w:val="Style7"/>
        <w:tabs>
          <w:tab w:leader="none" w:pos="1226"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а)</w:t>
        <w:tab/>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7"/>
        <w:tabs>
          <w:tab w:leader="none" w:pos="1321"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w:t>
        <w:tab/>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tabs>
          <w:tab w:leader="none" w:pos="3615"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протоколом рассмотрения заявок на участие в электронном аукционе от 27.10.2017</w:t>
        <w:tab/>
        <w:t>№0575200000417000222-1 участникам закупки с</w:t>
      </w:r>
    </w:p>
    <w:p>
      <w:pPr>
        <w:pStyle w:val="Style7"/>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порядковыми номерами заявок «1», «3», «4», «6», отказано в допуске к участию в Аукционе по причине: «...</w:t>
      </w:r>
    </w:p>
    <w:p>
      <w:pPr>
        <w:pStyle w:val="Style15"/>
        <w:widowControl w:val="0"/>
        <w:keepNext w:val="0"/>
        <w:keepLines w:val="0"/>
        <w:shd w:val="clear" w:color="auto" w:fill="auto"/>
        <w:bidi w:val="0"/>
        <w:spacing w:before="0" w:after="180"/>
        <w:ind w:left="20" w:right="20" w:firstLine="0"/>
      </w:pPr>
      <w:r>
        <w:rPr>
          <w:lang w:val="ru-RU" w:eastAsia="ru-RU" w:bidi="ru-RU"/>
          <w:w w:val="100"/>
          <w:spacing w:val="0"/>
          <w:color w:val="000000"/>
          <w:position w:val="0"/>
        </w:rPr>
        <w:t>Согласно ГОСТ Р 50838-2009 «Маркировка должна включать (в следующей последовательности): наименование изготовителя и/или его товарный знак, условное обозначение трубы без слова "труба", дату изготовления (день и/или месяц, год - четыре арабские цифры). В маркировку допускается включать другую информацию, например наименование страны, номер партии», следуя трактовке столбца «Указание на товарный знак (при наличии), наименование страны происхождения товара» данная труба не соответствует ГОСТу в части маркировки...</w:t>
      </w:r>
    </w:p>
    <w:p>
      <w:pPr>
        <w:pStyle w:val="Style1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Согласно ГОСТ Р 52779-2007 «Маркировка должна содержать: наименование изготовителя и/или его товарный знак; условное обозначение детали без ее наименования; дату изготовления (месяц, год)» , следуя трактовке столбца «Указание на товарный знак (при наличии), наименование страны происхождения товара» данная позиция не соответствует ГОСТу в части маркировки.</w:t>
      </w:r>
    </w:p>
    <w:p>
      <w:pPr>
        <w:pStyle w:val="Style7"/>
        <w:widowControl w:val="0"/>
        <w:keepNext w:val="0"/>
        <w:keepLines w:val="0"/>
        <w:shd w:val="clear" w:color="auto" w:fill="auto"/>
        <w:bidi w:val="0"/>
        <w:jc w:val="left"/>
        <w:spacing w:before="0" w:after="0" w:line="322" w:lineRule="exact"/>
        <w:ind w:left="740" w:right="0" w:firstLine="0"/>
      </w:pPr>
      <w:r>
        <w:rPr>
          <w:rStyle w:val="CharStyle17"/>
        </w:rPr>
        <w:t>...»</w:t>
      </w:r>
      <w:r>
        <w:rPr>
          <w:lang w:val="ru-RU" w:eastAsia="ru-RU" w:bidi="ru-RU"/>
          <w:w w:val="100"/>
          <w:spacing w:val="0"/>
          <w:color w:val="000000"/>
          <w:position w:val="0"/>
        </w:rPr>
        <w:t xml:space="preserve"> (цитата Протокола рассмотрения).</w:t>
      </w:r>
    </w:p>
    <w:p>
      <w:pPr>
        <w:pStyle w:val="Style7"/>
        <w:widowControl w:val="0"/>
        <w:keepNext w:val="0"/>
        <w:keepLines w:val="0"/>
        <w:shd w:val="clear" w:color="auto" w:fill="auto"/>
        <w:bidi w:val="0"/>
        <w:jc w:val="left"/>
        <w:spacing w:before="0" w:after="0" w:line="322" w:lineRule="exact"/>
        <w:ind w:left="740" w:right="0" w:firstLine="0"/>
      </w:pPr>
      <w:r>
        <w:rPr>
          <w:lang w:val="ru-RU" w:eastAsia="ru-RU" w:bidi="ru-RU"/>
          <w:w w:val="100"/>
          <w:spacing w:val="0"/>
          <w:color w:val="000000"/>
          <w:position w:val="0"/>
        </w:rPr>
        <w:t>Заказчиком в Техническом задании документации об Аукционе установлено:</w:t>
      </w:r>
    </w:p>
    <w:p>
      <w:pPr>
        <w:pStyle w:val="Style7"/>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134" w:line="230" w:lineRule="exact"/>
        <w:ind w:left="2940" w:right="0" w:firstLine="0"/>
      </w:pPr>
      <w:r>
        <w:rPr>
          <w:lang w:val="ru-RU" w:eastAsia="ru-RU" w:bidi="ru-RU"/>
          <w:w w:val="100"/>
          <w:spacing w:val="0"/>
          <w:color w:val="000000"/>
          <w:position w:val="0"/>
        </w:rPr>
        <w:t>2. Основные требования к объекту закупки</w:t>
      </w:r>
    </w:p>
    <w:p>
      <w:pPr>
        <w:pStyle w:val="Style19"/>
        <w:framePr w:w="9653" w:wrap="notBeside" w:vAnchor="text" w:hAnchor="text" w:xAlign="center" w:y="1"/>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"Поставка полимерных изделий на строительство подводящего газопровода к с.</w:t>
      </w:r>
    </w:p>
    <w:p>
      <w:pPr>
        <w:pStyle w:val="Style19"/>
        <w:framePr w:w="9653" w:wrap="notBeside" w:vAnchor="text" w:hAnchor="text" w:xAlign="center" w:y="1"/>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Кринички"</w:t>
      </w:r>
    </w:p>
    <w:tbl>
      <w:tblPr>
        <w:tblOverlap w:val="never"/>
        <w:tblLayout w:type="fixed"/>
        <w:jc w:val="center"/>
      </w:tblPr>
      <w:tblGrid>
        <w:gridCol w:w="566"/>
        <w:gridCol w:w="2981"/>
        <w:gridCol w:w="2126"/>
        <w:gridCol w:w="1421"/>
        <w:gridCol w:w="1416"/>
        <w:gridCol w:w="1142"/>
      </w:tblGrid>
      <w:tr>
        <w:trPr>
          <w:trHeight w:val="1166" w:hRule="exact"/>
        </w:trPr>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60" w:line="180" w:lineRule="exact"/>
              <w:ind w:left="200" w:right="0" w:firstLine="0"/>
            </w:pPr>
            <w:r>
              <w:rPr>
                <w:rStyle w:val="CharStyle21"/>
              </w:rPr>
              <w:t>№</w:t>
            </w:r>
          </w:p>
          <w:p>
            <w:pPr>
              <w:pStyle w:val="Style7"/>
              <w:framePr w:w="9653" w:wrap="notBeside" w:vAnchor="text" w:hAnchor="text" w:xAlign="center" w:y="1"/>
              <w:widowControl w:val="0"/>
              <w:keepNext w:val="0"/>
              <w:keepLines w:val="0"/>
              <w:shd w:val="clear" w:color="auto" w:fill="auto"/>
              <w:bidi w:val="0"/>
              <w:jc w:val="left"/>
              <w:spacing w:before="60" w:after="0" w:line="180" w:lineRule="exact"/>
              <w:ind w:left="200" w:right="0" w:firstLine="0"/>
            </w:pPr>
            <w:r>
              <w:rPr>
                <w:rStyle w:val="CharStyle21"/>
              </w:rPr>
              <w:t>п/п</w:t>
            </w: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Наименование товара</w:t>
            </w: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21"/>
              </w:rPr>
              <w:t>Наименование</w:t>
            </w:r>
          </w:p>
          <w:p>
            <w:pPr>
              <w:pStyle w:val="Style7"/>
              <w:framePr w:w="9653"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21"/>
              </w:rPr>
              <w:t>показателя</w:t>
            </w: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right"/>
              <w:spacing w:before="0" w:after="0" w:line="230" w:lineRule="exact"/>
              <w:ind w:left="0" w:right="160" w:firstLine="0"/>
            </w:pPr>
            <w:r>
              <w:rPr>
                <w:rStyle w:val="CharStyle21"/>
              </w:rPr>
              <w:t>Минимальны е/максимальн ые значения</w:t>
            </w:r>
          </w:p>
        </w:tc>
        <w:tc>
          <w:tcPr>
            <w:shd w:val="clear" w:color="auto" w:fill="FFFFFF"/>
            <w:tcBorders>
              <w:left w:val="single" w:sz="4"/>
              <w:top w:val="single" w:sz="4"/>
            </w:tcBorders>
            <w:vAlign w:val="bottom"/>
          </w:tcPr>
          <w:p>
            <w:pPr>
              <w:pStyle w:val="Style7"/>
              <w:framePr w:w="965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1"/>
              </w:rPr>
              <w:t>Значения показателей которые не могут меняться</w:t>
            </w:r>
          </w:p>
        </w:tc>
        <w:tc>
          <w:tcPr>
            <w:shd w:val="clear" w:color="auto" w:fill="FFFFFF"/>
            <w:tcBorders>
              <w:left w:val="single" w:sz="4"/>
              <w:righ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60" w:line="180" w:lineRule="exact"/>
              <w:ind w:left="200" w:right="0" w:firstLine="0"/>
            </w:pPr>
            <w:r>
              <w:rPr>
                <w:rStyle w:val="CharStyle21"/>
              </w:rPr>
              <w:t>Единица</w:t>
            </w:r>
          </w:p>
          <w:p>
            <w:pPr>
              <w:pStyle w:val="Style7"/>
              <w:framePr w:w="9653"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1"/>
              </w:rPr>
              <w:t>измерения</w:t>
            </w:r>
          </w:p>
        </w:tc>
      </w:tr>
      <w:tr>
        <w:trPr>
          <w:trHeight w:val="250" w:hRule="exact"/>
        </w:trPr>
        <w:tc>
          <w:tcPr>
            <w:shd w:val="clear" w:color="auto" w:fill="FFFFFF"/>
            <w:tcBorders>
              <w:left w:val="single" w:sz="4"/>
              <w:top w:val="single" w:sz="4"/>
              <w:bottom w:val="single" w:sz="4"/>
            </w:tcBorders>
            <w:vAlign w:val="bottom"/>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1"/>
              </w:rPr>
              <w:t>1.</w:t>
            </w:r>
          </w:p>
        </w:tc>
        <w:tc>
          <w:tcPr>
            <w:shd w:val="clear" w:color="auto" w:fill="FFFFFF"/>
            <w:tcBorders>
              <w:left w:val="single" w:sz="4"/>
              <w:top w:val="single" w:sz="4"/>
              <w:bottom w:val="single" w:sz="4"/>
            </w:tcBorders>
            <w:vAlign w:val="bottom"/>
          </w:tcPr>
          <w:p>
            <w:pPr>
              <w:pStyle w:val="Style7"/>
              <w:framePr w:w="965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 xml:space="preserve">Труба ПЭ100 ГАЗ </w:t>
            </w:r>
            <w:r>
              <w:rPr>
                <w:rStyle w:val="CharStyle21"/>
                <w:lang w:val="en-US" w:eastAsia="en-US" w:bidi="en-US"/>
              </w:rPr>
              <w:t>SDR11</w:t>
            </w:r>
          </w:p>
        </w:tc>
        <w:tc>
          <w:tcPr>
            <w:shd w:val="clear" w:color="auto" w:fill="FFFFFF"/>
            <w:tcBorders>
              <w:left w:val="single" w:sz="4"/>
              <w:top w:val="single" w:sz="4"/>
              <w:bottom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653"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66"/>
        <w:gridCol w:w="2981"/>
        <w:gridCol w:w="2126"/>
        <w:gridCol w:w="1421"/>
        <w:gridCol w:w="1416"/>
        <w:gridCol w:w="1142"/>
      </w:tblGrid>
      <w:tr>
        <w:trPr>
          <w:trHeight w:val="936" w:hRule="exact"/>
        </w:trPr>
        <w:tc>
          <w:tcPr>
            <w:shd w:val="clear" w:color="auto" w:fill="FFFFFF"/>
            <w:vMerge w:val="restart"/>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7"/>
              <w:framePr w:w="9653"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lang w:val="en-US" w:eastAsia="en-US" w:bidi="en-US"/>
              </w:rPr>
              <w:t xml:space="preserve">110x10,0 </w:t>
            </w:r>
            <w:r>
              <w:rPr>
                <w:rStyle w:val="CharStyle21"/>
              </w:rPr>
              <w:t>ГОСТ Р 50838-95 (количество 3000 метров)</w:t>
            </w:r>
          </w:p>
        </w:tc>
        <w:tc>
          <w:tcPr>
            <w:shd w:val="clear" w:color="auto" w:fill="FFFFFF"/>
            <w:tcBorders>
              <w:left w:val="single" w:sz="4"/>
              <w:top w:val="single" w:sz="4"/>
            </w:tcBorders>
            <w:vAlign w:val="top"/>
          </w:tcPr>
          <w:p>
            <w:pPr>
              <w:pStyle w:val="Style7"/>
              <w:framePr w:w="965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1"/>
              </w:rPr>
              <w:t>ГОСТ Р 50838-2009 (ИСО 4437:2007) ГОСТ ИСО 11922-1</w:t>
              <w:softHyphen/>
              <w:t>2006</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1"/>
              </w:rPr>
              <w:t>Соответствие</w:t>
            </w:r>
          </w:p>
          <w:p>
            <w:pPr>
              <w:pStyle w:val="Style7"/>
              <w:framePr w:w="9653"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1"/>
              </w:rPr>
              <w:t>нормативным</w:t>
            </w:r>
          </w:p>
          <w:p>
            <w:pPr>
              <w:pStyle w:val="Style7"/>
              <w:framePr w:w="9653"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1"/>
              </w:rPr>
              <w:t>требованиям</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tcBorders>
              <w:left w:val="single" w:sz="4"/>
            </w:tcBorders>
            <w:vAlign w:val="top"/>
          </w:tcPr>
          <w:p>
            <w:pPr>
              <w:framePr w:w="9653" w:wrap="notBeside" w:vAnchor="text" w:hAnchor="text" w:xAlign="center" w:y="1"/>
            </w:pPr>
          </w:p>
        </w:tc>
        <w:tc>
          <w:tcPr>
            <w:shd w:val="clear" w:color="auto" w:fill="FFFFFF"/>
            <w:vMerge/>
            <w:tcBorders>
              <w:left w:val="single" w:sz="4"/>
            </w:tcBorders>
            <w:vAlign w:val="top"/>
          </w:tcPr>
          <w:p>
            <w:pPr>
              <w:framePr w:w="9653" w:wrap="notBeside" w:vAnchor="text" w:hAnchor="text" w:xAlign="center" w:y="1"/>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2.</w:t>
            </w:r>
          </w:p>
        </w:tc>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 xml:space="preserve">Труба ПЭ100 ГАЗ </w:t>
            </w:r>
            <w:r>
              <w:rPr>
                <w:rStyle w:val="CharStyle21"/>
                <w:lang w:val="en-US" w:eastAsia="en-US" w:bidi="en-US"/>
              </w:rPr>
              <w:t xml:space="preserve">SDR11 63x5,8 </w:t>
            </w:r>
            <w:r>
              <w:rPr>
                <w:rStyle w:val="CharStyle21"/>
              </w:rPr>
              <w:t>ГОСТ Р 50838-95 (количество 10 метров)</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926"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center"/>
          </w:tcPr>
          <w:p>
            <w:pPr>
              <w:framePr w:w="9653" w:wrap="notBeside" w:vAnchor="text" w:hAnchor="text" w:xAlign="center" w:y="1"/>
            </w:pPr>
          </w:p>
        </w:tc>
        <w:tc>
          <w:tcPr>
            <w:shd w:val="clear" w:color="auto" w:fill="FFFFFF"/>
            <w:tcBorders>
              <w:left w:val="single" w:sz="4"/>
              <w:top w:val="single" w:sz="4"/>
            </w:tcBorders>
            <w:vAlign w:val="top"/>
          </w:tcPr>
          <w:p>
            <w:pPr>
              <w:pStyle w:val="Style7"/>
              <w:framePr w:w="9653"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1"/>
              </w:rPr>
              <w:t>ГОСТ Р 50838-2009 (ИСО 4437:2007) ГОСТ ИСО 11922-1</w:t>
              <w:softHyphen/>
              <w:t>2006</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1"/>
              </w:rPr>
              <w:t>Соответствие</w:t>
            </w:r>
          </w:p>
          <w:p>
            <w:pPr>
              <w:pStyle w:val="Style7"/>
              <w:framePr w:w="9653"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1"/>
              </w:rPr>
              <w:t>нормативным</w:t>
            </w:r>
          </w:p>
          <w:p>
            <w:pPr>
              <w:pStyle w:val="Style7"/>
              <w:framePr w:w="9653"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1"/>
              </w:rPr>
              <w:t>требованиям</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center"/>
          </w:tcPr>
          <w:p>
            <w:pPr>
              <w:framePr w:w="9653" w:wrap="notBeside" w:vAnchor="text" w:hAnchor="text" w:xAlign="center" w:y="1"/>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3.</w:t>
            </w:r>
          </w:p>
        </w:tc>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21"/>
              </w:rPr>
              <w:t xml:space="preserve">Труба ПЭ100 ГАЗ </w:t>
            </w:r>
            <w:r>
              <w:rPr>
                <w:rStyle w:val="CharStyle21"/>
                <w:lang w:val="en-US" w:eastAsia="en-US" w:bidi="en-US"/>
              </w:rPr>
              <w:t xml:space="preserve">SDR17 180x10,7 </w:t>
            </w:r>
            <w:r>
              <w:rPr>
                <w:rStyle w:val="CharStyle21"/>
              </w:rPr>
              <w:t>ГОСТ Р 50838-95 (количество 26 метров)</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931"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center"/>
          </w:tcPr>
          <w:p>
            <w:pPr>
              <w:framePr w:w="9653" w:wrap="notBeside" w:vAnchor="text" w:hAnchor="text" w:xAlign="center" w:y="1"/>
            </w:pPr>
          </w:p>
        </w:tc>
        <w:tc>
          <w:tcPr>
            <w:shd w:val="clear" w:color="auto" w:fill="FFFFFF"/>
            <w:tcBorders>
              <w:left w:val="single" w:sz="4"/>
              <w:top w:val="single" w:sz="4"/>
            </w:tcBorders>
            <w:vAlign w:val="top"/>
          </w:tcPr>
          <w:p>
            <w:pPr>
              <w:pStyle w:val="Style7"/>
              <w:framePr w:w="965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1"/>
              </w:rPr>
              <w:t>ГОСТ Р 50838-2009 (ИСО 4437:2007) ГОСТ ИСО 11922-1</w:t>
              <w:softHyphen/>
              <w:t>2006</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1"/>
              </w:rPr>
              <w:t>Соответствие</w:t>
            </w:r>
          </w:p>
          <w:p>
            <w:pPr>
              <w:pStyle w:val="Style7"/>
              <w:framePr w:w="9653"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1"/>
              </w:rPr>
              <w:t>нормативным</w:t>
            </w:r>
          </w:p>
          <w:p>
            <w:pPr>
              <w:pStyle w:val="Style7"/>
              <w:framePr w:w="9653"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1"/>
              </w:rPr>
              <w:t>требованиям</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center"/>
          </w:tcPr>
          <w:p>
            <w:pPr>
              <w:framePr w:w="9653" w:wrap="notBeside" w:vAnchor="text" w:hAnchor="text" w:xAlign="center" w:y="1"/>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4.</w:t>
            </w:r>
          </w:p>
        </w:tc>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 xml:space="preserve">Труба ПЭ100 ГАЗ </w:t>
            </w:r>
            <w:r>
              <w:rPr>
                <w:rStyle w:val="CharStyle21"/>
                <w:lang w:val="en-US" w:eastAsia="en-US" w:bidi="en-US"/>
              </w:rPr>
              <w:t xml:space="preserve">SDR11 25x2,3 </w:t>
            </w:r>
            <w:r>
              <w:rPr>
                <w:rStyle w:val="CharStyle21"/>
              </w:rPr>
              <w:t>ГОСТ Р 50838-95 (количество 10 метров)</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931"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center"/>
          </w:tcPr>
          <w:p>
            <w:pPr>
              <w:framePr w:w="9653" w:wrap="notBeside" w:vAnchor="text" w:hAnchor="text" w:xAlign="center" w:y="1"/>
            </w:pPr>
          </w:p>
        </w:tc>
        <w:tc>
          <w:tcPr>
            <w:shd w:val="clear" w:color="auto" w:fill="FFFFFF"/>
            <w:tcBorders>
              <w:left w:val="single" w:sz="4"/>
              <w:top w:val="single" w:sz="4"/>
            </w:tcBorders>
            <w:vAlign w:val="top"/>
          </w:tcPr>
          <w:p>
            <w:pPr>
              <w:pStyle w:val="Style7"/>
              <w:framePr w:w="965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1"/>
              </w:rPr>
              <w:t>ГОСТ Р 50838-2009 (ИСО 4437:2007) ГОСТ ИСО 11922-1</w:t>
              <w:softHyphen/>
              <w:t>2006</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1"/>
              </w:rPr>
              <w:t>Соответствие</w:t>
            </w:r>
          </w:p>
          <w:p>
            <w:pPr>
              <w:pStyle w:val="Style7"/>
              <w:framePr w:w="9653"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1"/>
              </w:rPr>
              <w:t>нормативным</w:t>
            </w:r>
          </w:p>
          <w:p>
            <w:pPr>
              <w:pStyle w:val="Style7"/>
              <w:framePr w:w="9653"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21"/>
              </w:rPr>
              <w:t>требованиям</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center"/>
          </w:tcPr>
          <w:p>
            <w:pPr>
              <w:framePr w:w="9653" w:wrap="notBeside" w:vAnchor="text" w:hAnchor="text" w:xAlign="center" w:y="1"/>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5.</w:t>
            </w:r>
          </w:p>
        </w:tc>
        <w:tc>
          <w:tcPr>
            <w:shd w:val="clear" w:color="auto" w:fill="FFFFFF"/>
            <w:vMerge w:val="restart"/>
            <w:tcBorders>
              <w:left w:val="single" w:sz="4"/>
              <w:top w:val="single" w:sz="4"/>
            </w:tcBorders>
            <w:vAlign w:val="bottom"/>
          </w:tcPr>
          <w:p>
            <w:pPr>
              <w:pStyle w:val="Style7"/>
              <w:framePr w:w="9653"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21"/>
              </w:rPr>
              <w:t xml:space="preserve">Кран подземной установки шаровый ПЭ100 ГАЗ 110 </w:t>
            </w:r>
            <w:r>
              <w:rPr>
                <w:rStyle w:val="CharStyle21"/>
                <w:lang w:val="en-US" w:eastAsia="en-US" w:bidi="en-US"/>
              </w:rPr>
              <w:t xml:space="preserve">SDR11 </w:t>
            </w:r>
            <w:r>
              <w:rPr>
                <w:rStyle w:val="CharStyle21"/>
              </w:rPr>
              <w:t>ГОСТ Р 52779-2007 (количество 1 штука)</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bottom"/>
          </w:tcPr>
          <w:p>
            <w:pPr>
              <w:framePr w:w="9653" w:wrap="notBeside" w:vAnchor="text" w:hAnchor="text" w:xAlign="center" w:y="1"/>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ГОСТ Р 52779-2007</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1"/>
              </w:rPr>
              <w:t>Соответствие</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6.</w:t>
            </w:r>
          </w:p>
        </w:tc>
        <w:tc>
          <w:tcPr>
            <w:shd w:val="clear" w:color="auto" w:fill="FFFFFF"/>
            <w:vMerge w:val="restart"/>
            <w:tcBorders>
              <w:left w:val="single" w:sz="4"/>
              <w:top w:val="single" w:sz="4"/>
            </w:tcBorders>
            <w:vAlign w:val="bottom"/>
          </w:tcPr>
          <w:p>
            <w:pPr>
              <w:pStyle w:val="Style7"/>
              <w:framePr w:w="9653"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21"/>
              </w:rPr>
              <w:t xml:space="preserve">Муфта электросварная ПЭ100 газ 110 </w:t>
            </w:r>
            <w:r>
              <w:rPr>
                <w:rStyle w:val="CharStyle21"/>
                <w:lang w:val="en-US" w:eastAsia="en-US" w:bidi="en-US"/>
              </w:rPr>
              <w:t xml:space="preserve">SDR11 </w:t>
            </w:r>
            <w:r>
              <w:rPr>
                <w:rStyle w:val="CharStyle21"/>
              </w:rPr>
              <w:t>ГОСТ Р 52779</w:t>
              <w:softHyphen/>
              <w:t>2007</w:t>
            </w:r>
          </w:p>
          <w:p>
            <w:pPr>
              <w:pStyle w:val="Style7"/>
              <w:framePr w:w="9653"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21"/>
              </w:rPr>
              <w:t>(количество 29 штук)</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830"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bottom"/>
          </w:tcPr>
          <w:p>
            <w:pPr>
              <w:framePr w:w="9653" w:wrap="notBeside" w:vAnchor="text" w:hAnchor="text" w:xAlign="center" w:y="1"/>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ГОСТ Р 52779-2007</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1"/>
              </w:rPr>
              <w:t>Соответствие</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7.</w:t>
            </w:r>
          </w:p>
        </w:tc>
        <w:tc>
          <w:tcPr>
            <w:shd w:val="clear" w:color="auto" w:fill="FFFFFF"/>
            <w:vMerge w:val="restart"/>
            <w:tcBorders>
              <w:left w:val="single" w:sz="4"/>
              <w:top w:val="single" w:sz="4"/>
            </w:tcBorders>
            <w:vAlign w:val="bottom"/>
          </w:tcPr>
          <w:p>
            <w:pPr>
              <w:pStyle w:val="Style7"/>
              <w:framePr w:w="9653"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 xml:space="preserve">Муфта электросварная ПЭ100 газ 063 </w:t>
            </w:r>
            <w:r>
              <w:rPr>
                <w:rStyle w:val="CharStyle21"/>
                <w:lang w:val="en-US" w:eastAsia="en-US" w:bidi="en-US"/>
              </w:rPr>
              <w:t xml:space="preserve">SDR11 </w:t>
            </w:r>
            <w:r>
              <w:rPr>
                <w:rStyle w:val="CharStyle21"/>
              </w:rPr>
              <w:t>ГОСТ Р 52779</w:t>
              <w:softHyphen/>
              <w:t>2007</w:t>
            </w:r>
          </w:p>
          <w:p>
            <w:pPr>
              <w:pStyle w:val="Style7"/>
              <w:framePr w:w="9653"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(количество 1 штука)</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bottom"/>
          </w:tcPr>
          <w:p>
            <w:pPr>
              <w:framePr w:w="9653" w:wrap="notBeside" w:vAnchor="text" w:hAnchor="text" w:xAlign="center" w:y="1"/>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ГОСТ Р 52779-2007</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1"/>
              </w:rPr>
              <w:t>Соответствие</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8.</w:t>
            </w:r>
          </w:p>
        </w:tc>
        <w:tc>
          <w:tcPr>
            <w:shd w:val="clear" w:color="auto" w:fill="FFFFFF"/>
            <w:vMerge w:val="restart"/>
            <w:tcBorders>
              <w:left w:val="single" w:sz="4"/>
              <w:top w:val="single" w:sz="4"/>
            </w:tcBorders>
            <w:vAlign w:val="bottom"/>
          </w:tcPr>
          <w:p>
            <w:pPr>
              <w:pStyle w:val="Style7"/>
              <w:framePr w:w="9653"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21"/>
              </w:rPr>
              <w:t xml:space="preserve">Отвод электросварной ПЭ100 ГАЗ 110 </w:t>
            </w:r>
            <w:r>
              <w:rPr>
                <w:rStyle w:val="CharStyle21"/>
                <w:lang w:val="en-US" w:eastAsia="en-US" w:bidi="en-US"/>
              </w:rPr>
              <w:t>SDR1</w:t>
            </w:r>
            <w:r>
              <w:rPr>
                <w:rStyle w:val="CharStyle21"/>
              </w:rPr>
              <w:t>1 90 градусов ГОСТ Р 52779-2007 (количество 2 штуки)</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830"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bottom"/>
          </w:tcPr>
          <w:p>
            <w:pPr>
              <w:framePr w:w="9653" w:wrap="notBeside" w:vAnchor="text" w:hAnchor="text" w:xAlign="center" w:y="1"/>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ГОСТ Р 52779-2007</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1"/>
              </w:rPr>
              <w:t>Соответствие</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9.</w:t>
            </w:r>
          </w:p>
        </w:tc>
        <w:tc>
          <w:tcPr>
            <w:shd w:val="clear" w:color="auto" w:fill="FFFFFF"/>
            <w:vMerge w:val="restart"/>
            <w:tcBorders>
              <w:left w:val="single" w:sz="4"/>
              <w:top w:val="single" w:sz="4"/>
            </w:tcBorders>
            <w:vAlign w:val="bottom"/>
          </w:tcPr>
          <w:p>
            <w:pPr>
              <w:pStyle w:val="Style7"/>
              <w:framePr w:w="9653"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 xml:space="preserve">Отвод электросварной ПЭ100 ГАЗ 110 </w:t>
            </w:r>
            <w:r>
              <w:rPr>
                <w:rStyle w:val="CharStyle21"/>
                <w:lang w:val="en-US" w:eastAsia="en-US" w:bidi="en-US"/>
              </w:rPr>
              <w:t xml:space="preserve">SDR11 </w:t>
            </w:r>
            <w:r>
              <w:rPr>
                <w:rStyle w:val="CharStyle21"/>
              </w:rPr>
              <w:t>45 градусов ГОСТ Р 52779-2007 (количество 2 штуки)</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bottom"/>
          </w:tcPr>
          <w:p>
            <w:pPr>
              <w:framePr w:w="9653" w:wrap="notBeside" w:vAnchor="text" w:hAnchor="text" w:xAlign="center" w:y="1"/>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ГОСТ Р 52779-2007</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1"/>
              </w:rPr>
              <w:t>Соответствие</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10.</w:t>
            </w:r>
          </w:p>
        </w:tc>
        <w:tc>
          <w:tcPr>
            <w:shd w:val="clear" w:color="auto" w:fill="FFFFFF"/>
            <w:vMerge w:val="restart"/>
            <w:tcBorders>
              <w:left w:val="single" w:sz="4"/>
              <w:top w:val="single" w:sz="4"/>
            </w:tcBorders>
            <w:vAlign w:val="bottom"/>
          </w:tcPr>
          <w:p>
            <w:pPr>
              <w:pStyle w:val="Style7"/>
              <w:framePr w:w="9653"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21"/>
              </w:rPr>
              <w:t xml:space="preserve">Седловой прямой отвод с закладными электронагревателями электросварной ПЭ 100 ГАЗ </w:t>
            </w:r>
            <w:r>
              <w:rPr>
                <w:rStyle w:val="CharStyle21"/>
                <w:lang w:val="en-US" w:eastAsia="en-US" w:bidi="en-US"/>
              </w:rPr>
              <w:t xml:space="preserve">250x110 SDR </w:t>
            </w:r>
            <w:r>
              <w:rPr>
                <w:rStyle w:val="CharStyle21"/>
              </w:rPr>
              <w:t>11 ГОСТ Р 52779-2007</w:t>
            </w:r>
          </w:p>
          <w:p>
            <w:pPr>
              <w:pStyle w:val="Style7"/>
              <w:framePr w:w="9653"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21"/>
              </w:rPr>
              <w:t>(количество 1 штука)</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1622" w:hRule="exact"/>
        </w:trPr>
        <w:tc>
          <w:tcPr>
            <w:shd w:val="clear" w:color="auto" w:fill="FFFFFF"/>
            <w:vMerge/>
            <w:tcBorders>
              <w:left w:val="single" w:sz="4"/>
            </w:tcBorders>
            <w:vAlign w:val="center"/>
          </w:tcPr>
          <w:p>
            <w:pPr>
              <w:framePr w:w="9653" w:wrap="notBeside" w:vAnchor="text" w:hAnchor="text" w:xAlign="center" w:y="1"/>
            </w:pPr>
          </w:p>
        </w:tc>
        <w:tc>
          <w:tcPr>
            <w:shd w:val="clear" w:color="auto" w:fill="FFFFFF"/>
            <w:vMerge/>
            <w:tcBorders>
              <w:left w:val="single" w:sz="4"/>
            </w:tcBorders>
            <w:vAlign w:val="bottom"/>
          </w:tcPr>
          <w:p>
            <w:pPr>
              <w:framePr w:w="9653" w:wrap="notBeside" w:vAnchor="text" w:hAnchor="text" w:xAlign="center" w:y="1"/>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ГОСТ Р 52779-2007</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1"/>
              </w:rPr>
              <w:t>Соответствие</w:t>
            </w: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475" w:hRule="exact"/>
        </w:trPr>
        <w:tc>
          <w:tcPr>
            <w:shd w:val="clear" w:color="auto" w:fill="FFFFFF"/>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11.</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240" w:hRule="exact"/>
        </w:trPr>
        <w:tc>
          <w:tcPr>
            <w:shd w:val="clear" w:color="auto" w:fill="FFFFFF"/>
            <w:vMerge w:val="restart"/>
            <w:tcBorders>
              <w:left w:val="single" w:sz="4"/>
              <w:top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1"/>
              </w:rPr>
              <w:t>12.</w:t>
            </w:r>
          </w:p>
        </w:tc>
        <w:tc>
          <w:tcPr>
            <w:shd w:val="clear" w:color="auto" w:fill="FFFFFF"/>
            <w:vMerge w:val="restart"/>
            <w:tcBorders>
              <w:left w:val="single" w:sz="4"/>
              <w:top w:val="single" w:sz="4"/>
            </w:tcBorders>
            <w:vAlign w:val="bottom"/>
          </w:tcPr>
          <w:p>
            <w:pPr>
              <w:pStyle w:val="Style7"/>
              <w:framePr w:w="9653"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21"/>
              </w:rPr>
              <w:t>Седловой т-образный отвод с закладными электронагревателями со встроенным режущим инструментом электросварной</w:t>
            </w: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53" w:wrap="notBeside" w:vAnchor="text" w:hAnchor="text" w:xAlign="center" w:y="1"/>
              <w:widowControl w:val="0"/>
              <w:rPr>
                <w:sz w:val="10"/>
                <w:szCs w:val="10"/>
              </w:rPr>
            </w:pPr>
          </w:p>
        </w:tc>
      </w:tr>
      <w:tr>
        <w:trPr>
          <w:trHeight w:val="1099" w:hRule="exact"/>
        </w:trPr>
        <w:tc>
          <w:tcPr>
            <w:shd w:val="clear" w:color="auto" w:fill="FFFFFF"/>
            <w:vMerge/>
            <w:tcBorders>
              <w:left w:val="single" w:sz="4"/>
              <w:bottom w:val="single" w:sz="4"/>
            </w:tcBorders>
            <w:vAlign w:val="center"/>
          </w:tcPr>
          <w:p>
            <w:pPr>
              <w:framePr w:w="9653" w:wrap="notBeside" w:vAnchor="text" w:hAnchor="text" w:xAlign="center" w:y="1"/>
            </w:pPr>
          </w:p>
        </w:tc>
        <w:tc>
          <w:tcPr>
            <w:shd w:val="clear" w:color="auto" w:fill="FFFFFF"/>
            <w:vMerge/>
            <w:tcBorders>
              <w:left w:val="single" w:sz="4"/>
              <w:bottom w:val="single" w:sz="4"/>
            </w:tcBorders>
            <w:vAlign w:val="bottom"/>
          </w:tcPr>
          <w:p>
            <w:pPr>
              <w:framePr w:w="9653" w:wrap="notBeside" w:vAnchor="text" w:hAnchor="text" w:xAlign="center" w:y="1"/>
            </w:pPr>
          </w:p>
        </w:tc>
        <w:tc>
          <w:tcPr>
            <w:shd w:val="clear" w:color="auto" w:fill="FFFFFF"/>
            <w:tcBorders>
              <w:left w:val="single" w:sz="4"/>
              <w:top w:val="single" w:sz="4"/>
              <w:bottom w:val="single" w:sz="4"/>
            </w:tcBorders>
            <w:vAlign w:val="center"/>
          </w:tcPr>
          <w:p>
            <w:pPr>
              <w:pStyle w:val="Style7"/>
              <w:framePr w:w="965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ГОСТ Р 52779-2007</w:t>
            </w:r>
          </w:p>
        </w:tc>
        <w:tc>
          <w:tcPr>
            <w:shd w:val="clear" w:color="auto" w:fill="FFFFFF"/>
            <w:tcBorders>
              <w:left w:val="single" w:sz="4"/>
              <w:top w:val="single" w:sz="4"/>
              <w:bottom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7"/>
              <w:framePr w:w="9653"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1"/>
              </w:rPr>
              <w:t>Соответствие</w:t>
            </w:r>
          </w:p>
        </w:tc>
        <w:tc>
          <w:tcPr>
            <w:shd w:val="clear" w:color="auto" w:fill="FFFFFF"/>
            <w:tcBorders>
              <w:left w:val="single" w:sz="4"/>
              <w:right w:val="single" w:sz="4"/>
              <w:top w:val="single" w:sz="4"/>
              <w:bottom w:val="single" w:sz="4"/>
            </w:tcBorders>
            <w:vAlign w:val="top"/>
          </w:tcPr>
          <w:p>
            <w:pPr>
              <w:framePr w:w="9653"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66"/>
        <w:gridCol w:w="2981"/>
        <w:gridCol w:w="2126"/>
        <w:gridCol w:w="1421"/>
        <w:gridCol w:w="1416"/>
        <w:gridCol w:w="1142"/>
      </w:tblGrid>
      <w:tr>
        <w:trPr>
          <w:trHeight w:val="816" w:hRule="exact"/>
        </w:trPr>
        <w:tc>
          <w:tcPr>
            <w:shd w:val="clear" w:color="auto" w:fill="FFFFFF"/>
            <w:tcBorders>
              <w:left w:val="single" w:sz="4"/>
              <w:top w:val="single" w:sz="4"/>
              <w:bottom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7"/>
              <w:framePr w:w="9653"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 xml:space="preserve">ПЭ 100 ГАЗ </w:t>
            </w:r>
            <w:r>
              <w:rPr>
                <w:rStyle w:val="CharStyle21"/>
                <w:lang w:val="en-US" w:eastAsia="en-US" w:bidi="en-US"/>
              </w:rPr>
              <w:t xml:space="preserve">180x63 SDR </w:t>
            </w:r>
            <w:r>
              <w:rPr>
                <w:rStyle w:val="CharStyle21"/>
              </w:rPr>
              <w:t>11 ГОСТ Р 52779-2007 (количество 1 штука)</w:t>
            </w:r>
          </w:p>
        </w:tc>
        <w:tc>
          <w:tcPr>
            <w:shd w:val="clear" w:color="auto" w:fill="FFFFFF"/>
            <w:tcBorders>
              <w:left w:val="single" w:sz="4"/>
              <w:top w:val="single" w:sz="4"/>
              <w:bottom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653"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653" w:wrap="notBeside" w:vAnchor="text" w:hAnchor="text" w:xAlign="center" w:y="1"/>
              <w:widowControl w:val="0"/>
              <w:rPr>
                <w:sz w:val="10"/>
                <w:szCs w:val="10"/>
              </w:rPr>
            </w:pPr>
          </w:p>
        </w:tc>
      </w:tr>
    </w:tbl>
    <w:p>
      <w:pPr>
        <w:pStyle w:val="Style22"/>
        <w:framePr w:w="9653"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документации об Аукционе).</w:t>
      </w:r>
    </w:p>
    <w:p>
      <w:pPr>
        <w:widowControl w:val="0"/>
        <w:rPr>
          <w:sz w:val="2"/>
          <w:szCs w:val="2"/>
        </w:rPr>
      </w:pP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пункта 5.3.2 ГОСТ Р 50838-2009 маркировка должна включать (в следующей последовательности): наименование изготовителя и/или его товарный знак, условное обозначение трубы без слова «труба», дату изготовления (день и/или месяц, год - четыре арабские цифры). В маркировку допускается включать другую информацию, например наименование страны, номер партии.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Вместе с тем, участник Аукциона должен указывать в первой части заявки обязан на участие в электронном аукционе при заключении контракта на поставку товара товарный знак (его словесное обозначение) при наличии такого товарного знака. При этом указывать наименование производителя такого товара участника Аукциона требования пункта 1 части 3 статьи 66 Закона о контрактной системе не обязывает (данная норма утратила силу в связи с принятием Федерального закона от 31.12.2014 №498-ФЗ «О внесении изменений в Федеральный закон «О контрактной системе в сфере закупок товаров, работ, услуг для обеспечения государственные и муниципальные нужд»).</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заседании Комиссии представители Заказчика не предоставили документальные доказательств того, что участники закупки с порядковыми номерами заявок «1», «3», «4», «6» указали в заявкаx на участие в Аукционе товары, имеющие товарные знаки.</w:t>
      </w:r>
    </w:p>
    <w:p>
      <w:pPr>
        <w:pStyle w:val="Style7"/>
        <w:tabs>
          <w:tab w:leader="none" w:pos="3615"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При этом согласно протоколу рассмотрения заявок на участие в электронном аукционе от 27.10.2017</w:t>
        <w:tab/>
        <w:t>№0575200000417000222-1 участникам закупки с</w:t>
      </w:r>
    </w:p>
    <w:p>
      <w:pPr>
        <w:pStyle w:val="Style7"/>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порядковыми номерами заявок «3», «4», отказано в допуске к участию в Аукционе по причине: «...</w:t>
      </w:r>
    </w:p>
    <w:p>
      <w:pPr>
        <w:pStyle w:val="Style15"/>
        <w:widowControl w:val="0"/>
        <w:keepNext w:val="0"/>
        <w:keepLines w:val="0"/>
        <w:shd w:val="clear" w:color="auto" w:fill="auto"/>
        <w:bidi w:val="0"/>
        <w:spacing w:before="0" w:after="5" w:line="220" w:lineRule="exact"/>
        <w:ind w:left="20" w:right="0" w:firstLine="860"/>
      </w:pPr>
      <w:r>
        <w:rPr>
          <w:lang w:val="ru-RU" w:eastAsia="ru-RU" w:bidi="ru-RU"/>
          <w:w w:val="100"/>
          <w:spacing w:val="0"/>
          <w:color w:val="000000"/>
          <w:position w:val="0"/>
        </w:rPr>
        <w:t>Не исключена фраза «Должны быть».</w:t>
      </w:r>
    </w:p>
    <w:p>
      <w:pPr>
        <w:pStyle w:val="Style7"/>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 (цитата Протокола рассмотрения).</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Комиссия, изучив заявки участников Аукциона с порядковыми номерами заявок «3», «4», предоставленные представителями Заказчика, не установила в данные заявка* (при указании показателей, иx значений) фраз «Должны быть».</w:t>
      </w:r>
    </w:p>
    <w:p>
      <w:pPr>
        <w:pStyle w:val="Style7"/>
        <w:widowControl w:val="0"/>
        <w:keepNext w:val="0"/>
        <w:keepLines w:val="0"/>
        <w:shd w:val="clear" w:color="auto" w:fill="auto"/>
        <w:bidi w:val="0"/>
        <w:spacing w:before="0" w:after="180" w:line="322" w:lineRule="exact"/>
        <w:ind w:left="20" w:right="20" w:firstLine="860"/>
      </w:pPr>
      <w:r>
        <w:rPr>
          <w:lang w:val="ru-RU" w:eastAsia="ru-RU" w:bidi="ru-RU"/>
          <w:w w:val="100"/>
          <w:spacing w:val="0"/>
          <w:color w:val="000000"/>
          <w:position w:val="0"/>
        </w:rPr>
        <w:t>Учитывая изложенное, Комиссия приxодит к выводу, что действия Единой комиссии Заказчика по рассмотрению заявок участников Аукциона закупки с порядковыми номерами заявок «1», «3», «4», «6»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административные правонарушенияx.</w:t>
      </w:r>
    </w:p>
    <w:p>
      <w:pPr>
        <w:pStyle w:val="Style7"/>
        <w:widowControl w:val="0"/>
        <w:keepNext w:val="0"/>
        <w:keepLines w:val="0"/>
        <w:shd w:val="clear" w:color="auto" w:fill="auto"/>
        <w:bidi w:val="0"/>
        <w:spacing w:before="0" w:after="22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3.30, 3.34, 3.35 Административного регламента от 19.11.2014 №727/14, Комиссия</w:t>
      </w:r>
    </w:p>
    <w:p>
      <w:pPr>
        <w:pStyle w:val="Style7"/>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7"/>
        <w:numPr>
          <w:ilvl w:val="0"/>
          <w:numId w:val="11"/>
        </w:numPr>
        <w:tabs>
          <w:tab w:leader="none" w:pos="1169" w:val="left"/>
        </w:tabs>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Признать жалобу Заявителя необоснованной.</w:t>
      </w:r>
      <w:r>
        <w:br w:type="page"/>
      </w:r>
    </w:p>
    <w:p>
      <w:pPr>
        <w:pStyle w:val="Style7"/>
        <w:numPr>
          <w:ilvl w:val="0"/>
          <w:numId w:val="11"/>
        </w:numPr>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 xml:space="preserve"> Признать Единую комиссию Заказчика нарушившей требования статьей 66, 67 Закона о контрактной системе.</w:t>
      </w:r>
    </w:p>
    <w:p>
      <w:pPr>
        <w:pStyle w:val="Style7"/>
        <w:numPr>
          <w:ilvl w:val="0"/>
          <w:numId w:val="11"/>
        </w:numPr>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 xml:space="preserve"> Заказчику, Единой комиссии Заказчика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1"/>
        </w:numPr>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№06/4134-17 для рассмотрения вопроса о возбуждении дела об административном правонарушении.</w:t>
      </w:r>
    </w:p>
    <w:p>
      <w:pPr>
        <w:pStyle w:val="Style7"/>
        <w:numPr>
          <w:ilvl w:val="0"/>
          <w:numId w:val="11"/>
        </w:numPr>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 06/12376.</w:t>
      </w:r>
    </w:p>
    <w:p>
      <w:pPr>
        <w:pStyle w:val="Style7"/>
        <w:widowControl w:val="0"/>
        <w:keepNext w:val="0"/>
        <w:keepLines w:val="0"/>
        <w:shd w:val="clear" w:color="auto" w:fill="auto"/>
        <w:bidi w:val="0"/>
        <w:spacing w:before="0" w:after="339" w:line="322"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треx месяцев со дня его принятия.</w:t>
      </w:r>
    </w:p>
    <w:p>
      <w:pPr>
        <w:pStyle w:val="Style7"/>
        <w:tabs>
          <w:tab w:leader="none" w:pos="7783" w:val="left"/>
        </w:tabs>
        <w:widowControl w:val="0"/>
        <w:keepNext w:val="0"/>
        <w:keepLines w:val="0"/>
        <w:shd w:val="clear" w:color="auto" w:fill="auto"/>
        <w:bidi w:val="0"/>
        <w:spacing w:before="0" w:after="0" w:line="648"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83" w:val="left"/>
        </w:tabs>
        <w:widowControl w:val="0"/>
        <w:keepNext w:val="0"/>
        <w:keepLines w:val="0"/>
        <w:shd w:val="clear" w:color="auto" w:fill="auto"/>
        <w:bidi w:val="0"/>
        <w:spacing w:before="0" w:after="0" w:line="648"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15"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215" w:val="left"/>
        </w:tabs>
        <w:widowControl w:val="0"/>
        <w:keepNext w:val="0"/>
        <w:keepLines w:val="0"/>
        <w:shd w:val="clear" w:color="auto" w:fill="auto"/>
        <w:bidi w:val="0"/>
        <w:spacing w:before="0" w:after="0" w:line="260" w:lineRule="exact"/>
        <w:ind w:left="5780" w:right="0" w:firstLine="0"/>
        <w:sectPr>
          <w:footnotePr>
            <w:pos w:val="pageBottom"/>
            <w:numFmt w:val="decimal"/>
            <w:numRestart w:val="continuous"/>
          </w:footnotePr>
          <w:type w:val="continuous"/>
          <w:pgSz w:w="11906" w:h="16838"/>
          <w:pgMar w:top="1196" w:left="917" w:right="759" w:bottom="937"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3"/>
        <w:widowControl w:val="0"/>
        <w:keepNext w:val="0"/>
        <w:keepLines w:val="0"/>
        <w:shd w:val="clear" w:color="auto" w:fill="auto"/>
        <w:bidi w:val="0"/>
        <w:spacing w:before="0" w:after="0"/>
        <w:ind w:left="0" w:right="0" w:firstLine="0"/>
        <w:sectPr>
          <w:pgSz w:w="11906" w:h="16838"/>
          <w:pgMar w:top="1323" w:left="1283" w:right="6745" w:bottom="507"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93"/>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3"/>
        </w:numPr>
        <w:tabs>
          <w:tab w:leader="none" w:pos="1383" w:val="left"/>
        </w:tabs>
        <w:widowControl w:val="0"/>
        <w:keepNext w:val="0"/>
        <w:keepLines w:val="0"/>
        <w:shd w:val="clear" w:color="auto" w:fill="auto"/>
        <w:bidi w:val="0"/>
        <w:jc w:val="left"/>
        <w:spacing w:before="0" w:after="0" w:line="442" w:lineRule="exact"/>
        <w:ind w:left="0" w:right="2160" w:firstLine="0"/>
      </w:pPr>
      <w:r>
        <w:rPr>
          <w:lang w:val="ru-RU" w:eastAsia="ru-RU" w:bidi="ru-RU"/>
          <w:w w:val="100"/>
          <w:spacing w:val="0"/>
          <w:color w:val="000000"/>
          <w:position w:val="0"/>
        </w:rPr>
        <w:t>№06/12576 На №б/н от 30.10.2017</w:t>
      </w:r>
    </w:p>
    <w:p>
      <w:pPr>
        <w:pStyle w:val="Style7"/>
        <w:numPr>
          <w:ilvl w:val="0"/>
          <w:numId w:val="15"/>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Государственное унитарное предприятие Республики Крым «Крымгазсети»</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295011, Республика Крым,</w:t>
      </w:r>
    </w:p>
    <w:p>
      <w:pPr>
        <w:pStyle w:val="Style7"/>
        <w:widowControl w:val="0"/>
        <w:keepNext w:val="0"/>
        <w:keepLines w:val="0"/>
        <w:shd w:val="clear" w:color="auto" w:fill="auto"/>
        <w:bidi w:val="0"/>
        <w:jc w:val="left"/>
        <w:spacing w:before="0" w:after="296"/>
        <w:ind w:left="20" w:right="0" w:firstLine="0"/>
      </w:pPr>
      <w:r>
        <w:rPr>
          <w:lang w:val="ru-RU" w:eastAsia="ru-RU" w:bidi="ru-RU"/>
          <w:w w:val="100"/>
          <w:spacing w:val="0"/>
          <w:color w:val="000000"/>
          <w:position w:val="0"/>
        </w:rPr>
        <w:t>г. Симферополь, ул. Училищная, д.42А</w:t>
      </w:r>
    </w:p>
    <w:p>
      <w:pPr>
        <w:pStyle w:val="Style7"/>
        <w:numPr>
          <w:ilvl w:val="0"/>
          <w:numId w:val="15"/>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Общество с ограниченной ответственностью «РостовОблСтрой» 344114, г. Ростов-на-Дону, пр. Королева,</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1323" w:left="793" w:right="1139" w:bottom="507" w:header="0" w:footer="3" w:gutter="0"/>
          <w:rtlGutter w:val="0"/>
          <w:cols w:num="2" w:space="163"/>
          <w:noEndnote/>
          <w:docGrid w:linePitch="360"/>
        </w:sectPr>
      </w:pPr>
      <w:r>
        <w:rPr>
          <w:lang w:val="ru-RU" w:eastAsia="ru-RU" w:bidi="ru-RU"/>
          <w:w w:val="100"/>
          <w:spacing w:val="0"/>
          <w:color w:val="000000"/>
          <w:position w:val="0"/>
        </w:rPr>
        <w:t>д.29, корп.В, Литер А, оф.1В</w:t>
      </w: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5"/>
        </w:numPr>
        <w:tabs>
          <w:tab w:leader="none" w:pos="5349" w:val="left"/>
        </w:tabs>
        <w:widowControl w:val="0"/>
        <w:keepNext w:val="0"/>
        <w:keepLines w:val="0"/>
        <w:shd w:val="clear" w:color="auto" w:fill="auto"/>
        <w:bidi w:val="0"/>
        <w:spacing w:before="0" w:after="0"/>
        <w:ind w:left="49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ind w:left="4980" w:right="940" w:firstLine="0"/>
      </w:pPr>
      <w:r>
        <w:rPr>
          <w:lang w:val="ru-RU" w:eastAsia="ru-RU" w:bidi="ru-RU"/>
          <w:w w:val="100"/>
          <w:spacing w:val="0"/>
          <w:color w:val="000000"/>
          <w:position w:val="0"/>
        </w:rPr>
        <w:t>ОАО «Единая электронная торговая площадка»</w:t>
      </w:r>
    </w:p>
    <w:p>
      <w:pPr>
        <w:pStyle w:val="Style7"/>
        <w:widowControl w:val="0"/>
        <w:keepNext w:val="0"/>
        <w:keepLines w:val="0"/>
        <w:shd w:val="clear" w:color="auto" w:fill="auto"/>
        <w:bidi w:val="0"/>
        <w:spacing w:before="0" w:after="0"/>
        <w:ind w:left="49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spacing w:before="0" w:after="56"/>
        <w:ind w:left="49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Предписание по делу №06/4134-17 об устранении нарушений законодательства Российской Федерации о контрактной системе в сфере закупок</w:t>
      </w:r>
    </w:p>
    <w:p>
      <w:pPr>
        <w:pStyle w:val="Style7"/>
        <w:numPr>
          <w:ilvl w:val="0"/>
          <w:numId w:val="17"/>
        </w:numPr>
        <w:tabs>
          <w:tab w:leader="none" w:pos="8032" w:val="left"/>
          <w:tab w:leader="none" w:pos="8066" w:val="left"/>
        </w:tabs>
        <w:widowControl w:val="0"/>
        <w:keepNext w:val="0"/>
        <w:keepLines w:val="0"/>
        <w:shd w:val="clear" w:color="auto" w:fill="auto"/>
        <w:bidi w:val="0"/>
        <w:spacing w:before="0" w:after="7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spacing w:before="0" w:after="0" w:line="322" w:lineRule="exact"/>
        <w:ind w:left="2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2"/>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spacing w:before="0" w:after="0" w:line="322" w:lineRule="exact"/>
        <w:ind w:left="2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spacing w:before="0" w:after="0" w:line="322" w:lineRule="exact"/>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spacing w:before="0" w:after="0" w:line="322" w:lineRule="exact"/>
        <w:ind w:left="20" w:right="20" w:firstLine="840"/>
      </w:pPr>
      <w:r>
        <w:rPr>
          <w:lang w:val="ru-RU" w:eastAsia="ru-RU" w:bidi="ru-RU"/>
          <w:w w:val="100"/>
          <w:spacing w:val="0"/>
          <w:color w:val="000000"/>
          <w:position w:val="0"/>
        </w:rPr>
        <w:t>члена Комиссии - главного специалиста-эксперта отдела контроля в сфере естественный монополий и на товарные рынкаx Крымского УФАС России</w:t>
      </w:r>
    </w:p>
    <w:p>
      <w:pPr>
        <w:pStyle w:val="Style7"/>
        <w:tabs>
          <w:tab w:leader="none" w:pos="446"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spacing w:before="0" w:after="229" w:line="322" w:lineRule="exact"/>
        <w:ind w:left="20" w:right="20" w:firstLine="840"/>
      </w:pPr>
      <w:r>
        <w:rPr>
          <w:lang w:val="ru-RU" w:eastAsia="ru-RU" w:bidi="ru-RU"/>
          <w:w w:val="100"/>
          <w:spacing w:val="0"/>
          <w:color w:val="000000"/>
          <w:position w:val="0"/>
        </w:rPr>
        <w:t xml:space="preserve">на основании решения Комиссии от 02.11.2017 по делу №06/4134-17 по итогам рассмотрения жалобы Заявителя от 30.10.2017 </w:t>
      </w:r>
      <w:r>
        <w:rPr>
          <w:lang w:val="en-US" w:eastAsia="en-US" w:bidi="en-US"/>
          <w:w w:val="100"/>
          <w:spacing w:val="0"/>
          <w:color w:val="000000"/>
          <w:position w:val="0"/>
        </w:rPr>
        <w:t xml:space="preserve">^x. </w:t>
      </w:r>
      <w:r>
        <w:rPr>
          <w:lang w:val="ru-RU" w:eastAsia="ru-RU" w:bidi="ru-RU"/>
          <w:w w:val="100"/>
          <w:spacing w:val="0"/>
          <w:color w:val="000000"/>
          <w:position w:val="0"/>
        </w:rPr>
        <w:t>№4733/09 от 30.10.2017) на действия Единой комиссии Заказчика при проведении электронного аукциона «Поставка полимерные изделий на строительство подводящего газопровода к с. Кринички» (номер извещения 0575200000417000222)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государственныx и муниципальные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государственныx и муниципальные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center"/>
        <w:spacing w:before="0" w:after="183" w:line="260" w:lineRule="exact"/>
        <w:ind w:left="20" w:right="0" w:firstLine="0"/>
      </w:pPr>
      <w:r>
        <w:rPr>
          <w:lang w:val="ru-RU" w:eastAsia="ru-RU" w:bidi="ru-RU"/>
          <w:w w:val="100"/>
          <w:spacing w:val="0"/>
          <w:color w:val="000000"/>
          <w:position w:val="0"/>
        </w:rPr>
        <w:t>ПРЕДПИСЫВАЕТ:</w:t>
      </w:r>
    </w:p>
    <w:p>
      <w:pPr>
        <w:pStyle w:val="Style7"/>
        <w:numPr>
          <w:ilvl w:val="0"/>
          <w:numId w:val="1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отменить протоколы, составленные при проведении Аукциона (далее - Протоколы) и разместить информацию об отмене Протоколов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1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Заказчику назначить дату рассмотрения первые частей заявок на участие в Аукционе, дату проведения Аукциона, а также разместить на официальном сайте информацию о дате рассмотрения первые частей заявок на участие в Аукционе и дате проведения Аукциона. При этом дата рассмотрения первые частей заявок на участие в Аукционе должна быть назначена не ранее чем через 6 рабочиx дней со дня отмены Протоколов.</w:t>
      </w:r>
    </w:p>
    <w:p>
      <w:pPr>
        <w:pStyle w:val="Style7"/>
        <w:numPr>
          <w:ilvl w:val="0"/>
          <w:numId w:val="1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уведомить участников закупки, подавшиx заявки на участие в Аукционе, об отмене Протоколов, о дате рассмотрения первые частей заявок на участие в Аукционе, дате и времени проведения Аукциона, а также о необxодимости наличия на счетаx для проведения операций по обеспечению участия в открытые аукционаx в электронной форме, открытые участникам закупки, денежные средств в размере обеспечения заявки на участие в Аукционе, о блокировании операций в отношении указанные средств, в случае если в иx отношении блокирование прекращено.</w:t>
      </w:r>
    </w:p>
    <w:p>
      <w:pPr>
        <w:pStyle w:val="Style7"/>
        <w:numPr>
          <w:ilvl w:val="0"/>
          <w:numId w:val="1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Оператору электронной площадки через 4 рабочиx дня со дня направления Оператором электронной площадки уведомления, указанного в пункте 3 настоящего предписания, осуществить блокирование операций по счетам для проведения операций по обеспечению участия в открытые аукционаx в электронной форме, открытые участникам закупки, в отношении денежные средств в размере обеспечения заявки на участие в Аукционе.</w:t>
      </w:r>
    </w:p>
    <w:p>
      <w:pPr>
        <w:pStyle w:val="Style7"/>
        <w:numPr>
          <w:ilvl w:val="0"/>
          <w:numId w:val="19"/>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Единой комиссии Заказчика рассмотреть первые части заявок, поданные</w:t>
        <w:br w:type="page"/>
        <w:t>участниками закупки до окончания срока подачи заявок на участие в Аукционе, в том числе заявку Заявителя, в соответствии с положениями законодательства Российской Федерации о контрактной системе в сфере закупок и с учетом решения от 02.11.2017 по делу №06/4134-17.</w:t>
      </w:r>
    </w:p>
    <w:p>
      <w:pPr>
        <w:pStyle w:val="Style7"/>
        <w:numPr>
          <w:ilvl w:val="0"/>
          <w:numId w:val="1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02.11.2017 по делу №06/4134-17.</w:t>
      </w:r>
    </w:p>
    <w:p>
      <w:pPr>
        <w:pStyle w:val="Style7"/>
        <w:numPr>
          <w:ilvl w:val="0"/>
          <w:numId w:val="1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в срок до 24.11.2017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19"/>
        </w:numPr>
        <w:widowControl w:val="0"/>
        <w:keepNext w:val="0"/>
        <w:keepLines w:val="0"/>
        <w:shd w:val="clear" w:color="auto" w:fill="auto"/>
        <w:bidi w:val="0"/>
        <w:spacing w:before="0" w:after="176"/>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 06/12376.</w:t>
      </w:r>
    </w:p>
    <w:p>
      <w:pPr>
        <w:pStyle w:val="Style7"/>
        <w:widowControl w:val="0"/>
        <w:keepNext w:val="0"/>
        <w:keepLines w:val="0"/>
        <w:shd w:val="clear" w:color="auto" w:fill="auto"/>
        <w:bidi w:val="0"/>
        <w:spacing w:before="0" w:after="18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государственныx или муниципальные нужд, его территориального органа влечет наложение административного штрафа на должностные лиц в размере пятидесяти тысяч рублей; на юридическиx лиц - пятисот тысяч рублей в соответствии с частью 7 статьи 19.5 Кодекса Российской Федерации об административные правонарушенияx.</w:t>
      </w:r>
    </w:p>
    <w:p>
      <w:pPr>
        <w:pStyle w:val="Style7"/>
        <w:tabs>
          <w:tab w:leader="none" w:pos="8077" w:val="right"/>
          <w:tab w:leader="none" w:pos="8410" w:val="right"/>
          <w:tab w:leader="none" w:pos="9608"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8" w:val="right"/>
          <w:tab w:leader="none" w:pos="8391" w:val="right"/>
          <w:tab w:leader="none" w:pos="9538"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437" w:left="906" w:right="776" w:bottom="88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3">
    <w:name w:val="Основной текст"/>
    <w:basedOn w:val="CharStyle9"/>
    <w:rPr>
      <w:lang w:val="en-US" w:eastAsia="en-US" w:bidi="en-US"/>
      <w:u w:val="single"/>
      <w:w w:val="100"/>
      <w:spacing w:val="0"/>
      <w:color w:val="000000"/>
      <w:position w:val="0"/>
    </w:rPr>
  </w:style>
  <w:style w:type="character" w:customStyle="1" w:styleId="CharStyle14">
    <w:name w:val="Основной текст"/>
    <w:basedOn w:val="CharStyle9"/>
    <w:rPr>
      <w:lang w:val="en-US" w:eastAsia="en-US" w:bidi="en-US"/>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 Интервал 1 pt"/>
    <w:basedOn w:val="CharStyle9"/>
    <w:rPr>
      <w:lang w:val="ru-RU" w:eastAsia="ru-RU" w:bidi="ru-RU"/>
      <w:w w:val="100"/>
      <w:spacing w:val="30"/>
      <w:color w:val="000000"/>
      <w:position w:val="0"/>
    </w:rPr>
  </w:style>
  <w:style w:type="character" w:customStyle="1" w:styleId="CharStyle18">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0">
    <w:name w:val="Подпись к таблице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 9 pt,Полужирный"/>
    <w:basedOn w:val="CharStyle9"/>
    <w:rPr>
      <w:lang w:val="ru-RU" w:eastAsia="ru-RU" w:bidi="ru-RU"/>
      <w:b/>
      <w:bCs/>
      <w:sz w:val="18"/>
      <w:szCs w:val="18"/>
      <w:w w:val="100"/>
      <w:spacing w:val="0"/>
      <w:color w:val="000000"/>
      <w:position w:val="0"/>
    </w:rPr>
  </w:style>
  <w:style w:type="character" w:customStyle="1" w:styleId="CharStyle23">
    <w:name w:val="Подпись к таблице (2)_"/>
    <w:basedOn w:val="DefaultParagraphFont"/>
    <w:link w:val="Style22"/>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25">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18"/>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24"/>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jc w:val="both"/>
      <w:spacing w:before="114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after="18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Подпись к таблице"/>
    <w:basedOn w:val="Normal"/>
    <w:link w:val="CharStyle20"/>
    <w:pPr>
      <w:widowControl w:val="0"/>
      <w:shd w:val="clear" w:color="auto" w:fill="FFFFFF"/>
      <w:jc w:val="center"/>
      <w:spacing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Подпись к таблице (2)"/>
    <w:basedOn w:val="Normal"/>
    <w:link w:val="CharStyle23"/>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