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49" w:y="132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49" w:y="132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49" w:y="132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20" w:firstLine="0"/>
      </w:pPr>
      <w:r>
        <w:rPr>
          <w:lang w:val="ru-RU" w:eastAsia="ru-RU" w:bidi="ru-RU"/>
          <w:w w:val="100"/>
          <w:spacing w:val="0"/>
          <w:color w:val="000000"/>
          <w:position w:val="0"/>
        </w:rPr>
        <w:t>Государственное бюджетное учреждение здравоохранения Республики Крым «Симферопольская городская детская клиническая больница».</w:t>
      </w:r>
    </w:p>
    <w:p>
      <w:pPr>
        <w:pStyle w:val="Style7"/>
        <w:framePr w:h="245" w:wrap="around" w:vAnchor="text" w:hAnchor="margin" w:x="35" w:y="116"/>
        <w:widowControl w:val="0"/>
        <w:keepNext w:val="0"/>
        <w:keepLines w:val="0"/>
        <w:shd w:val="clear" w:color="auto" w:fill="auto"/>
        <w:bidi w:val="0"/>
        <w:jc w:val="left"/>
        <w:spacing w:before="0" w:after="0" w:line="240" w:lineRule="exact"/>
        <w:ind w:left="0" w:right="0" w:firstLine="0"/>
      </w:pPr>
      <w:r>
        <w:rPr>
          <w:rStyle w:val="CharStyle8"/>
          <w:spacing w:val="0"/>
        </w:rPr>
        <w:t>10.11.2017 №06/12896</w:t>
      </w:r>
    </w:p>
    <w:p>
      <w:pPr>
        <w:pStyle w:val="Style7"/>
        <w:framePr w:h="240" w:wrap="around" w:vAnchor="text" w:hAnchor="margin" w:x="2" w:y="683"/>
        <w:widowControl w:val="0"/>
        <w:keepNext w:val="0"/>
        <w:keepLines w:val="0"/>
        <w:shd w:val="clear" w:color="auto" w:fill="auto"/>
        <w:bidi w:val="0"/>
        <w:jc w:val="left"/>
        <w:spacing w:before="0" w:after="0" w:line="240" w:lineRule="exact"/>
        <w:ind w:left="0" w:right="0" w:firstLine="0"/>
      </w:pPr>
      <w:r>
        <w:rPr>
          <w:rStyle w:val="CharStyle8"/>
          <w:spacing w:val="0"/>
        </w:rPr>
        <w:t>На № 4 от 02.11.2017</w:t>
      </w:r>
    </w:p>
    <w:p>
      <w:pPr>
        <w:pStyle w:val="Style7"/>
        <w:widowControl w:val="0"/>
        <w:keepNext w:val="0"/>
        <w:keepLines w:val="0"/>
        <w:shd w:val="clear" w:color="auto" w:fill="auto"/>
        <w:bidi w:val="0"/>
        <w:jc w:val="left"/>
        <w:spacing w:before="0" w:after="60"/>
        <w:ind w:left="4980" w:right="1520"/>
      </w:pPr>
      <w:r>
        <w:rPr>
          <w:lang w:val="ru-RU" w:eastAsia="ru-RU" w:bidi="ru-RU"/>
          <w:w w:val="100"/>
          <w:spacing w:val="0"/>
          <w:color w:val="000000"/>
          <w:position w:val="0"/>
        </w:rPr>
        <w:t>295026, Республика Крым г. Симферополь, ул. Семашко,6</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32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295022, Республика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«Инжиниринг»</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368268, Республика Дагестан,</w:t>
      </w:r>
    </w:p>
    <w:p>
      <w:pPr>
        <w:pStyle w:val="Style7"/>
        <w:widowControl w:val="0"/>
        <w:keepNext w:val="0"/>
        <w:keepLines w:val="0"/>
        <w:shd w:val="clear" w:color="auto" w:fill="auto"/>
        <w:bidi w:val="0"/>
        <w:jc w:val="left"/>
        <w:spacing w:before="0" w:after="304"/>
        <w:ind w:left="4980" w:right="0" w:firstLine="0"/>
      </w:pPr>
      <w:r>
        <w:rPr>
          <w:lang w:val="ru-RU" w:eastAsia="ru-RU" w:bidi="ru-RU"/>
          <w:w w:val="100"/>
          <w:spacing w:val="0"/>
          <w:color w:val="000000"/>
          <w:position w:val="0"/>
        </w:rPr>
        <w:t>Хунзахский район, с. Очло</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89"/>
        <w:ind w:left="0" w:right="20" w:firstLine="0"/>
      </w:pPr>
      <w:r>
        <w:rPr>
          <w:lang w:val="ru-RU" w:eastAsia="ru-RU" w:bidi="ru-RU"/>
          <w:w w:val="100"/>
          <w:spacing w:val="0"/>
          <w:color w:val="000000"/>
          <w:position w:val="0"/>
        </w:rPr>
        <w:t>Решение по делу №06/4189-17 о нарушении законодательства Российской Федерации о контрактной системе в сфере закупок</w:t>
      </w:r>
    </w:p>
    <w:p>
      <w:pPr>
        <w:pStyle w:val="Style7"/>
        <w:tabs>
          <w:tab w:leader="none" w:pos="7998"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09.11.2017</w:t>
        <w:tab/>
        <w:t>г. 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Заказчика Г. Р. Адилгазиевой (по доверенности), И. В. Лазаревой (по доверенности),</w:t>
      </w:r>
    </w:p>
    <w:p>
      <w:pPr>
        <w:pStyle w:val="Style7"/>
        <w:tabs>
          <w:tab w:leader="none" w:pos="2078"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02.11.2017 № 4 (вх. №4777/09 от 02.11.2017) на действия Единой комиссии Уполномоченного органа при проведении электронного аукциона «Капитальный ремонт здания городской детской поликлиники ГБУЗ РК "Симферопольская городская детская клиническая больница" по адресу:</w:t>
        <w:tab/>
        <w:t>г. Симферополь, ул. Семашко,6» (номер извещения</w:t>
      </w:r>
    </w:p>
    <w:p>
      <w:pPr>
        <w:pStyle w:val="Style7"/>
        <w:tabs>
          <w:tab w:leader="none" w:pos="10186" w:val="righ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0175200000417000416)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№06/12552,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Заседание Комиссии по рассмотрению жалобы назначено на 15:00 08.11.2017.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15:30</w:t>
      </w:r>
    </w:p>
    <w:p>
      <w:pPr>
        <w:pStyle w:val="Style7"/>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09.11.2017.</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извещение об осуществлении закупки размещено на официальном сайте —</w:t>
      </w:r>
    </w:p>
    <w:p>
      <w:pPr>
        <w:pStyle w:val="Style7"/>
        <w:numPr>
          <w:ilvl w:val="0"/>
          <w:numId w:val="5"/>
        </w:numPr>
        <w:tabs>
          <w:tab w:leader="none" w:pos="144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изменения - 26.09.2017;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- 47 165 100,00 рублей;</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17.10.2017 08:00, дата окончания срока рассмотрения первых частей заявок участников: 24.10.2017, дата проведения Аукциона: 27.10.2017;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подана 21 заявка, из них 19 заявок признаны не соответствующими документации об Аукционе и Закону о контрактной системе - заявка под номером «5» (Заявитель);</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2 участника, снижение от начальной (максимальной) цены контракта составило 1,00%;</w:t>
      </w:r>
    </w:p>
    <w:p>
      <w:pPr>
        <w:pStyle w:val="Style7"/>
        <w:numPr>
          <w:ilvl w:val="0"/>
          <w:numId w:val="3"/>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по результатам рассмотрения вторых частей заявок участников победителем Аукциона признано ООО «Стройнадзор» с предложенной ценой контракта 46 693 448,50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w:t>
      </w:r>
    </w:p>
    <w:p>
      <w:pPr>
        <w:pStyle w:val="Style7"/>
        <w:widowControl w:val="0"/>
        <w:keepNext w:val="0"/>
        <w:keepLines w:val="0"/>
        <w:shd w:val="clear" w:color="auto" w:fill="auto"/>
        <w:bidi w:val="0"/>
        <w:jc w:val="both"/>
        <w:spacing w:before="0" w:after="0"/>
        <w:ind w:left="20" w:right="180" w:firstLine="0"/>
      </w:pPr>
      <w:r>
        <w:rPr>
          <w:lang w:val="ru-RU" w:eastAsia="ru-RU" w:bidi="ru-RU"/>
          <w:w w:val="100"/>
          <w:spacing w:val="0"/>
          <w:color w:val="000000"/>
          <w:position w:val="0"/>
        </w:rPr>
        <w:t>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7"/>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7"/>
        </w:numPr>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18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2"/>
        <w:framePr w:w="1033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24.10.2017 №0175200000417000416-1 закупки с порядковым номером </w:t>
      </w:r>
      <w:r>
        <w:rPr>
          <w:rStyle w:val="CharStyle14"/>
        </w:rPr>
        <w:t xml:space="preserve">заявки «5» (Заявитель) отказано в допуске к участию в Аукционе по причине: </w:t>
      </w:r>
      <w:r>
        <w:rPr>
          <w:rStyle w:val="CharStyle15"/>
        </w:rPr>
        <w:t>«...</w:t>
      </w:r>
    </w:p>
    <w:tbl>
      <w:tblPr>
        <w:tblOverlap w:val="never"/>
        <w:tblLayout w:type="fixed"/>
        <w:jc w:val="center"/>
      </w:tblPr>
      <w:tblGrid>
        <w:gridCol w:w="5222"/>
        <w:gridCol w:w="5112"/>
      </w:tblGrid>
      <w:tr>
        <w:trPr>
          <w:trHeight w:val="298"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6"/>
              </w:rPr>
              <w:t>Порядковый номер заявки</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6"/>
              </w:rPr>
              <w:t>Заявка № 5</w:t>
            </w:r>
          </w:p>
        </w:tc>
      </w:tr>
      <w:tr>
        <w:trPr>
          <w:trHeight w:val="283" w:hRule="exact"/>
        </w:trPr>
        <w:tc>
          <w:tcPr>
            <w:shd w:val="clear" w:color="auto" w:fill="FFFFFF"/>
            <w:tcBorders>
              <w:lef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6"/>
              </w:rPr>
              <w:t>Статус допуска участника</w:t>
            </w:r>
          </w:p>
        </w:tc>
        <w:tc>
          <w:tcPr>
            <w:shd w:val="clear" w:color="auto" w:fill="FFFFFF"/>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7"/>
              </w:rPr>
              <w:t>Отказ в допуске</w:t>
            </w:r>
          </w:p>
        </w:tc>
      </w:tr>
      <w:tr>
        <w:trPr>
          <w:trHeight w:val="288" w:hRule="exact"/>
        </w:trPr>
        <w:tc>
          <w:tcPr>
            <w:shd w:val="clear" w:color="auto" w:fill="FFFFFF"/>
            <w:gridSpan w:val="2"/>
            <w:tcBorders>
              <w:left w:val="single" w:sz="4"/>
              <w:right w:val="single" w:sz="4"/>
              <w:top w:val="single" w:sz="4"/>
            </w:tcBorders>
            <w:vAlign w:val="bottom"/>
          </w:tcPr>
          <w:p>
            <w:pPr>
              <w:pStyle w:val="Style7"/>
              <w:framePr w:w="10334" w:wrap="notBeside" w:vAnchor="text" w:hAnchor="text" w:xAlign="center" w:y="1"/>
              <w:widowControl w:val="0"/>
              <w:keepNext w:val="0"/>
              <w:keepLines w:val="0"/>
              <w:shd w:val="clear" w:color="auto" w:fill="auto"/>
              <w:bidi w:val="0"/>
              <w:jc w:val="left"/>
              <w:spacing w:before="0" w:after="0" w:line="220" w:lineRule="exact"/>
              <w:ind w:left="20" w:right="0" w:firstLine="0"/>
            </w:pPr>
            <w:r>
              <w:rPr>
                <w:rStyle w:val="CharStyle16"/>
              </w:rPr>
              <w:t>Обоснование принятого решения</w:t>
            </w:r>
          </w:p>
        </w:tc>
      </w:tr>
      <w:tr>
        <w:trPr>
          <w:trHeight w:val="571" w:hRule="exact"/>
        </w:trPr>
        <w:tc>
          <w:tcPr>
            <w:shd w:val="clear" w:color="auto" w:fill="FFFFFF"/>
            <w:gridSpan w:val="2"/>
            <w:tcBorders>
              <w:left w:val="single" w:sz="4"/>
              <w:right w:val="single" w:sz="4"/>
              <w:top w:val="single" w:sz="4"/>
              <w:bottom w:val="single" w:sz="4"/>
            </w:tcBorders>
            <w:vAlign w:val="bottom"/>
          </w:tcPr>
          <w:p>
            <w:pPr>
              <w:pStyle w:val="Style7"/>
              <w:framePr w:w="10334" w:wrap="notBeside" w:vAnchor="text" w:hAnchor="text" w:xAlign="center" w:y="1"/>
              <w:widowControl w:val="0"/>
              <w:keepNext w:val="0"/>
              <w:keepLines w:val="0"/>
              <w:shd w:val="clear" w:color="auto" w:fill="auto"/>
              <w:bidi w:val="0"/>
              <w:jc w:val="right"/>
              <w:spacing w:before="0" w:after="0" w:line="278" w:lineRule="exact"/>
              <w:ind w:left="0" w:right="20" w:firstLine="0"/>
            </w:pPr>
            <w:r>
              <w:rPr>
                <w:rStyle w:val="CharStyle16"/>
              </w:rPr>
              <w:t xml:space="preserve">I. </w:t>
            </w:r>
            <w:r>
              <w:rPr>
                <w:rStyle w:val="CharStyle17"/>
              </w:rPr>
              <w:t>В соответствии с п.2 ч.4 ст.67 Закона 44-ФЗ, а именно: несоответствие в первой части заявки участника информации, предусмотренной п.п. б) п.3 ч.3 ст.66 Закона №44-ФЗ, п.1.1. ч.1 раздела</w:t>
            </w:r>
          </w:p>
        </w:tc>
      </w:tr>
    </w:tbl>
    <w:p>
      <w:pPr>
        <w:widowControl w:val="0"/>
        <w:rPr>
          <w:sz w:val="2"/>
          <w:szCs w:val="2"/>
        </w:rPr>
      </w:pPr>
    </w:p>
    <w:p>
      <w:pPr>
        <w:pStyle w:val="Style18"/>
        <w:widowControl w:val="0"/>
        <w:keepNext w:val="0"/>
        <w:keepLines w:val="0"/>
        <w:shd w:val="clear" w:color="auto" w:fill="auto"/>
        <w:bidi w:val="0"/>
        <w:spacing w:before="0" w:after="0"/>
        <w:ind w:left="80" w:right="0" w:firstLine="0"/>
      </w:pP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w:t>
      </w:r>
    </w:p>
    <w:p>
      <w:pPr>
        <w:pStyle w:val="Style18"/>
        <w:widowControl w:val="0"/>
        <w:keepNext w:val="0"/>
        <w:keepLines w:val="0"/>
        <w:shd w:val="clear" w:color="auto" w:fill="auto"/>
        <w:bidi w:val="0"/>
        <w:spacing w:before="0" w:after="0"/>
        <w:ind w:left="80" w:right="20" w:firstLine="540"/>
      </w:pPr>
      <w:r>
        <w:rPr>
          <w:lang w:val="ru-RU" w:eastAsia="ru-RU" w:bidi="ru-RU"/>
          <w:w w:val="100"/>
          <w:spacing w:val="0"/>
          <w:color w:val="000000"/>
          <w:position w:val="0"/>
        </w:rPr>
        <w:t>Согласно приложению №1 к разделу IV документации об аукционе в электронной форме по номенклатурной позиции №46 установлено требуемое значение «Заклепка медная по ГОСТ 10299</w:t>
        <w:softHyphen/>
        <w:t>80. Номинальные размеры, мм: диаметр стержня от 12,0; длина до 50. Теоретическая масса 1000 штук заклепок: не менее 45,03 кг».</w:t>
      </w:r>
    </w:p>
    <w:p>
      <w:pPr>
        <w:pStyle w:val="Style18"/>
        <w:widowControl w:val="0"/>
        <w:keepNext w:val="0"/>
        <w:keepLines w:val="0"/>
        <w:shd w:val="clear" w:color="auto" w:fill="auto"/>
        <w:bidi w:val="0"/>
        <w:spacing w:before="0" w:after="0"/>
        <w:ind w:left="80" w:right="20" w:firstLine="540"/>
      </w:pPr>
      <w:r>
        <w:rPr>
          <w:lang w:val="ru-RU" w:eastAsia="ru-RU" w:bidi="ru-RU"/>
          <w:w w:val="100"/>
          <w:spacing w:val="0"/>
          <w:color w:val="000000"/>
          <w:position w:val="0"/>
        </w:rPr>
        <w:t xml:space="preserve">В свою очередь, по данной номенклатурной позиции участником электронного аукциона предложено следующее значение «Заклепка медная </w:t>
      </w:r>
      <w:r>
        <w:rPr>
          <w:rStyle w:val="CharStyle20"/>
        </w:rPr>
        <w:t>по ГОСТ 10299-80</w:t>
      </w:r>
      <w:r>
        <w:rPr>
          <w:lang w:val="ru-RU" w:eastAsia="ru-RU" w:bidi="ru-RU"/>
          <w:w w:val="100"/>
          <w:spacing w:val="0"/>
          <w:color w:val="000000"/>
          <w:position w:val="0"/>
        </w:rPr>
        <w:t xml:space="preserve">. Номинальные размеры, мм: </w:t>
      </w:r>
      <w:r>
        <w:rPr>
          <w:rStyle w:val="CharStyle20"/>
        </w:rPr>
        <w:t>диаметр стержня 12,0; длина 50</w:t>
      </w:r>
      <w:r>
        <w:rPr>
          <w:lang w:val="ru-RU" w:eastAsia="ru-RU" w:bidi="ru-RU"/>
          <w:w w:val="100"/>
          <w:spacing w:val="0"/>
          <w:color w:val="000000"/>
          <w:position w:val="0"/>
        </w:rPr>
        <w:t xml:space="preserve">. Теоретическая масса 1000 штук заклепок: </w:t>
      </w:r>
      <w:r>
        <w:rPr>
          <w:rStyle w:val="CharStyle20"/>
        </w:rPr>
        <w:t>53,91 кг</w:t>
      </w:r>
      <w:r>
        <w:rPr>
          <w:lang w:val="ru-RU" w:eastAsia="ru-RU" w:bidi="ru-RU"/>
          <w:w w:val="100"/>
          <w:spacing w:val="0"/>
          <w:color w:val="000000"/>
          <w:position w:val="0"/>
        </w:rPr>
        <w:t>» (цитата из заявки).</w:t>
      </w:r>
    </w:p>
    <w:p>
      <w:pPr>
        <w:pStyle w:val="Style18"/>
        <w:widowControl w:val="0"/>
        <w:keepNext w:val="0"/>
        <w:keepLines w:val="0"/>
        <w:shd w:val="clear" w:color="auto" w:fill="auto"/>
        <w:bidi w:val="0"/>
        <w:spacing w:before="0" w:after="0"/>
        <w:ind w:left="80" w:right="20" w:firstLine="540"/>
      </w:pPr>
      <w:r>
        <w:rPr>
          <w:lang w:val="ru-RU" w:eastAsia="ru-RU" w:bidi="ru-RU"/>
          <w:w w:val="100"/>
          <w:spacing w:val="0"/>
          <w:color w:val="000000"/>
          <w:position w:val="0"/>
        </w:rPr>
        <w:t xml:space="preserve">Однако, в соответствии с приложением к ГОСТ 10299-80 «Заклепки с полукруглой головкой классов точности В и С. Технические условия» </w:t>
      </w:r>
      <w:r>
        <w:rPr>
          <w:rStyle w:val="CharStyle20"/>
        </w:rPr>
        <w:t>с учетом примечания к таблице</w:t>
      </w:r>
      <w:r>
        <w:rPr>
          <w:lang w:val="ru-RU" w:eastAsia="ru-RU" w:bidi="ru-RU"/>
          <w:w w:val="100"/>
          <w:spacing w:val="0"/>
          <w:color w:val="000000"/>
          <w:position w:val="0"/>
        </w:rPr>
        <w:t>: теоретическая масса 1000 штук медных заклепок длиной 50 мм при номинальном диаметре стержня 12 мм будет равняться 53,91*1,134=61,13 кг.</w:t>
      </w:r>
    </w:p>
    <w:p>
      <w:pPr>
        <w:pStyle w:val="Style18"/>
        <w:widowControl w:val="0"/>
        <w:keepNext w:val="0"/>
        <w:keepLines w:val="0"/>
        <w:shd w:val="clear" w:color="auto" w:fill="auto"/>
        <w:bidi w:val="0"/>
        <w:spacing w:before="0" w:after="0"/>
        <w:ind w:left="80" w:right="20" w:firstLine="54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18"/>
        <w:widowControl w:val="0"/>
        <w:keepNext w:val="0"/>
        <w:keepLines w:val="0"/>
        <w:shd w:val="clear" w:color="auto" w:fill="auto"/>
        <w:bidi w:val="0"/>
        <w:spacing w:before="0" w:after="0"/>
        <w:ind w:left="80" w:right="20" w:firstLine="540"/>
      </w:pPr>
      <w:r>
        <w:rPr>
          <w:rStyle w:val="CharStyle21"/>
          <w:lang w:val="en-US" w:eastAsia="en-US" w:bidi="en-US"/>
        </w:rPr>
        <w:t xml:space="preserve">II. </w:t>
      </w:r>
      <w:r>
        <w:rPr>
          <w:lang w:val="ru-RU" w:eastAsia="ru-RU" w:bidi="ru-RU"/>
          <w:w w:val="100"/>
          <w:spacing w:val="0"/>
          <w:color w:val="000000"/>
          <w:position w:val="0"/>
        </w:rPr>
        <w:t xml:space="preserve">В соответствии с п.1 ч.4 ст.67 Закона 44-ФЗ, а именно: предоставление в первой части заявки участника недостоверной информации, предусмотренной п.п.б) п.3 ч.3 ст.66 Закона №44-ФЗ, п.1.1. ч.1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w:t>
      </w:r>
    </w:p>
    <w:p>
      <w:pPr>
        <w:pStyle w:val="Style18"/>
        <w:widowControl w:val="0"/>
        <w:keepNext w:val="0"/>
        <w:keepLines w:val="0"/>
        <w:shd w:val="clear" w:color="auto" w:fill="auto"/>
        <w:bidi w:val="0"/>
        <w:spacing w:before="0" w:after="0"/>
        <w:ind w:left="80" w:right="20" w:firstLine="540"/>
      </w:pPr>
      <w:r>
        <w:rPr>
          <w:lang w:val="ru-RU" w:eastAsia="ru-RU" w:bidi="ru-RU"/>
          <w:w w:val="100"/>
          <w:spacing w:val="0"/>
          <w:color w:val="000000"/>
          <w:position w:val="0"/>
        </w:rPr>
        <w:t>По номенклатурной позиции №141 участником электронного аукциона предложено значение «</w:t>
      </w:r>
      <w:r>
        <w:rPr>
          <w:rStyle w:val="CharStyle20"/>
        </w:rPr>
        <w:t>Трубки для теплоизоляции систем отопления и водоснабжения</w:t>
      </w:r>
      <w:r>
        <w:rPr>
          <w:lang w:val="ru-RU" w:eastAsia="ru-RU" w:bidi="ru-RU"/>
          <w:w w:val="100"/>
          <w:spacing w:val="0"/>
          <w:color w:val="000000"/>
          <w:position w:val="0"/>
        </w:rPr>
        <w:t xml:space="preserve">. Изготовлены из вспененного полиэтилена с замкнутой ячеистой структурой серого цвета. Температурный диапазон эксплуатации: от </w:t>
      </w:r>
      <w:r>
        <w:rPr>
          <w:lang w:val="en-US" w:eastAsia="en-US" w:bidi="en-US"/>
          <w:w w:val="100"/>
          <w:spacing w:val="0"/>
          <w:color w:val="000000"/>
          <w:position w:val="0"/>
        </w:rPr>
        <w:t xml:space="preserve">-80°C </w:t>
      </w:r>
      <w:r>
        <w:rPr>
          <w:lang w:val="ru-RU" w:eastAsia="ru-RU" w:bidi="ru-RU"/>
          <w:w w:val="100"/>
          <w:spacing w:val="0"/>
          <w:color w:val="000000"/>
          <w:position w:val="0"/>
        </w:rPr>
        <w:t xml:space="preserve">до </w:t>
      </w:r>
      <w:r>
        <w:rPr>
          <w:lang w:val="en-US" w:eastAsia="en-US" w:bidi="en-US"/>
          <w:w w:val="100"/>
          <w:spacing w:val="0"/>
          <w:color w:val="000000"/>
          <w:position w:val="0"/>
        </w:rPr>
        <w:t xml:space="preserve">+95°C </w:t>
      </w:r>
      <w:r>
        <w:rPr>
          <w:lang w:val="ru-RU" w:eastAsia="ru-RU" w:bidi="ru-RU"/>
          <w:w w:val="100"/>
          <w:spacing w:val="0"/>
          <w:color w:val="000000"/>
          <w:position w:val="0"/>
        </w:rPr>
        <w:t xml:space="preserve">Трубки нетоксичны. </w:t>
      </w:r>
      <w:r>
        <w:rPr>
          <w:rStyle w:val="CharStyle20"/>
        </w:rPr>
        <w:t>Размеры: внутренний диаметр 108 мм;</w:t>
      </w:r>
      <w:r>
        <w:rPr>
          <w:lang w:val="ru-RU" w:eastAsia="ru-RU" w:bidi="ru-RU"/>
          <w:w w:val="100"/>
          <w:spacing w:val="0"/>
          <w:color w:val="000000"/>
          <w:position w:val="0"/>
        </w:rPr>
        <w:t xml:space="preserve"> </w:t>
      </w:r>
      <w:r>
        <w:rPr>
          <w:rStyle w:val="CharStyle20"/>
        </w:rPr>
        <w:t xml:space="preserve">толщина </w:t>
      </w:r>
      <w:r>
        <w:rPr>
          <w:rStyle w:val="CharStyle22"/>
        </w:rPr>
        <w:t>13 м</w:t>
      </w:r>
      <w:r>
        <w:rPr>
          <w:lang w:val="ru-RU" w:eastAsia="ru-RU" w:bidi="ru-RU"/>
          <w:w w:val="100"/>
          <w:spacing w:val="0"/>
          <w:color w:val="000000"/>
          <w:position w:val="0"/>
        </w:rPr>
        <w:t>» (цитата из заявки).</w:t>
      </w:r>
    </w:p>
    <w:p>
      <w:pPr>
        <w:pStyle w:val="Style18"/>
        <w:widowControl w:val="0"/>
        <w:keepNext w:val="0"/>
        <w:keepLines w:val="0"/>
        <w:shd w:val="clear" w:color="auto" w:fill="auto"/>
        <w:bidi w:val="0"/>
        <w:spacing w:before="0" w:after="0"/>
        <w:ind w:left="80" w:right="20" w:firstLine="540"/>
      </w:pPr>
      <w:r>
        <w:rPr>
          <w:lang w:val="ru-RU" w:eastAsia="ru-RU" w:bidi="ru-RU"/>
          <w:w w:val="100"/>
          <w:spacing w:val="0"/>
          <w:color w:val="000000"/>
          <w:position w:val="0"/>
        </w:rPr>
        <w:t xml:space="preserve">Однако предложенное участником электронного аукциона значение толщины трубок </w:t>
      </w:r>
      <w:r>
        <w:rPr>
          <w:rStyle w:val="CharStyle21"/>
        </w:rPr>
        <w:t xml:space="preserve">в размере 13 м </w:t>
      </w:r>
      <w:r>
        <w:rPr>
          <w:lang w:val="ru-RU" w:eastAsia="ru-RU" w:bidi="ru-RU"/>
          <w:w w:val="100"/>
          <w:spacing w:val="0"/>
          <w:color w:val="000000"/>
          <w:position w:val="0"/>
        </w:rPr>
        <w:t>при заявленном внутреннем диаметре 108 мм и предлагаемом назначении не является достоверным, и не предусмотрено ни одним из производителей данного вида товаров, что не позволяет Единой комиссии установить соответствие предлагаемого участником товара</w:t>
      </w:r>
    </w:p>
    <w:p>
      <w:pPr>
        <w:pStyle w:val="Style18"/>
        <w:tabs>
          <w:tab w:leader="underscore" w:pos="10338" w:val="left"/>
        </w:tabs>
        <w:widowControl w:val="0"/>
        <w:keepNext w:val="0"/>
        <w:keepLines w:val="0"/>
        <w:shd w:val="clear" w:color="auto" w:fill="auto"/>
        <w:bidi w:val="0"/>
        <w:spacing w:before="0" w:after="0"/>
        <w:ind w:left="80" w:right="0" w:firstLine="0"/>
      </w:pPr>
      <w:r>
        <w:rPr>
          <w:rStyle w:val="CharStyle20"/>
        </w:rPr>
        <w:t>потребностям заказчика.</w:t>
      </w:r>
      <w:r>
        <w:rPr>
          <w:lang w:val="ru-RU" w:eastAsia="ru-RU" w:bidi="ru-RU"/>
          <w:w w:val="100"/>
          <w:spacing w:val="0"/>
          <w:color w:val="000000"/>
          <w:position w:val="0"/>
        </w:rPr>
        <w:tab/>
      </w:r>
    </w:p>
    <w:p>
      <w:pPr>
        <w:pStyle w:val="Style7"/>
        <w:widowControl w:val="0"/>
        <w:keepNext w:val="0"/>
        <w:keepLines w:val="0"/>
        <w:shd w:val="clear" w:color="auto" w:fill="auto"/>
        <w:bidi w:val="0"/>
        <w:jc w:val="left"/>
        <w:spacing w:before="0" w:after="57" w:line="260" w:lineRule="exact"/>
        <w:ind w:left="900" w:right="0" w:firstLine="0"/>
      </w:pPr>
      <w:r>
        <w:rPr>
          <w:rStyle w:val="CharStyle23"/>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18" w:line="260" w:lineRule="exact"/>
        <w:ind w:left="900" w:right="0" w:firstLine="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both"/>
        <w:spacing w:before="0" w:after="0" w:line="230" w:lineRule="exact"/>
        <w:ind w:left="80" w:right="0" w:firstLine="0"/>
      </w:pPr>
      <w:r>
        <w:rPr>
          <w:lang w:val="ru-RU" w:eastAsia="ru-RU" w:bidi="ru-RU"/>
          <w:w w:val="100"/>
          <w:spacing w:val="0"/>
          <w:color w:val="000000"/>
          <w:position w:val="0"/>
        </w:rPr>
        <w:t>«.</w:t>
      </w:r>
    </w:p>
    <w:p>
      <w:pPr>
        <w:pStyle w:val="Style24"/>
        <w:tabs>
          <w:tab w:leader="underscore" w:pos="5149" w:val="right"/>
          <w:tab w:leader="none" w:pos="5294" w:val="left"/>
          <w:tab w:leader="underscore" w:pos="10338" w:val="left"/>
        </w:tabs>
        <w:widowControl w:val="0"/>
        <w:keepNext w:val="0"/>
        <w:keepLines w:val="0"/>
        <w:shd w:val="clear" w:color="auto" w:fill="auto"/>
        <w:bidi w:val="0"/>
        <w:jc w:val="left"/>
        <w:spacing w:before="0" w:after="0"/>
        <w:ind w:left="80" w:right="140"/>
      </w:pPr>
      <w:r>
        <w:rPr>
          <w:lang w:val="ru-RU" w:eastAsia="ru-RU" w:bidi="ru-RU"/>
          <w:w w:val="100"/>
          <w:spacing w:val="0"/>
          <w:color w:val="000000"/>
          <w:position w:val="0"/>
        </w:rPr>
        <w:t xml:space="preserve">Приложение №1 к Техническому заданию Требования к товарам, используемым при капитальном ремонте здания городской детской поликлиники ГБУЗ РК «Симферопольская городская детская клиническая больница» по адресу: г. </w:t>
        <w:tab/>
      </w:r>
      <w:r>
        <w:rPr>
          <w:rStyle w:val="CharStyle26"/>
          <w:b/>
          <w:bCs/>
        </w:rPr>
        <w:t>Симферополь,</w:t>
        <w:tab/>
        <w:t>ул. Семашко,6.</w:t>
      </w:r>
      <w:r>
        <w:rPr>
          <w:lang w:val="ru-RU" w:eastAsia="ru-RU" w:bidi="ru-RU"/>
          <w:w w:val="100"/>
          <w:spacing w:val="0"/>
          <w:color w:val="000000"/>
          <w:position w:val="0"/>
        </w:rPr>
        <w:tab/>
      </w:r>
    </w:p>
    <w:tbl>
      <w:tblPr>
        <w:tblOverlap w:val="never"/>
        <w:tblLayout w:type="fixed"/>
        <w:jc w:val="center"/>
      </w:tblPr>
      <w:tblGrid>
        <w:gridCol w:w="1157"/>
        <w:gridCol w:w="9082"/>
      </w:tblGrid>
      <w:tr>
        <w:trPr>
          <w:trHeight w:val="480"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0"/>
              </w:rPr>
              <w:t>№ п/п</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30"/>
              </w:rPr>
              <w:t>Наименование товара (материала). Качественные характеристики, минимальные и максимальные значения, а так же значения которые не могут изменяться.</w:t>
            </w:r>
          </w:p>
        </w:tc>
      </w:tr>
      <w:tr>
        <w:trPr>
          <w:trHeight w:val="307"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470"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1"/>
              </w:rPr>
              <w:t>46</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31"/>
              </w:rPr>
              <w:t>Заклепка медная по ГОСТ 10299-80. Номинальные размеры, мм: диаметр стержня от 12,0; длина до 50. Теоретическая масса 1000 штук заклепок: не менее 45,03 кг.</w:t>
            </w:r>
          </w:p>
        </w:tc>
      </w:tr>
      <w:tr>
        <w:trPr>
          <w:trHeight w:val="312" w:hRule="exact"/>
        </w:trPr>
        <w:tc>
          <w:tcPr>
            <w:shd w:val="clear" w:color="auto" w:fill="FFFFFF"/>
            <w:tcBorders>
              <w:left w:val="single" w:sz="4"/>
              <w:top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8" w:wrap="notBeside" w:vAnchor="text" w:hAnchor="text" w:xAlign="center" w:y="1"/>
              <w:widowControl w:val="0"/>
              <w:rPr>
                <w:sz w:val="10"/>
                <w:szCs w:val="10"/>
              </w:rPr>
            </w:pPr>
          </w:p>
        </w:tc>
      </w:tr>
      <w:tr>
        <w:trPr>
          <w:trHeight w:val="931" w:hRule="exact"/>
        </w:trPr>
        <w:tc>
          <w:tcPr>
            <w:shd w:val="clear" w:color="auto" w:fill="FFFFFF"/>
            <w:tcBorders>
              <w:left w:val="single" w:sz="4"/>
              <w:top w:val="single" w:sz="4"/>
            </w:tcBorders>
            <w:vAlign w:val="center"/>
          </w:tcPr>
          <w:p>
            <w:pPr>
              <w:pStyle w:val="Style7"/>
              <w:framePr w:w="1023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1"/>
              </w:rPr>
              <w:t>141</w:t>
            </w:r>
          </w:p>
        </w:tc>
        <w:tc>
          <w:tcPr>
            <w:shd w:val="clear" w:color="auto" w:fill="FFFFFF"/>
            <w:tcBorders>
              <w:left w:val="single" w:sz="4"/>
              <w:right w:val="single" w:sz="4"/>
              <w:top w:val="single" w:sz="4"/>
            </w:tcBorders>
            <w:vAlign w:val="bottom"/>
          </w:tcPr>
          <w:p>
            <w:pPr>
              <w:pStyle w:val="Style7"/>
              <w:framePr w:w="10238" w:wrap="notBeside" w:vAnchor="text" w:hAnchor="text" w:xAlign="center" w:y="1"/>
              <w:widowControl w:val="0"/>
              <w:keepNext w:val="0"/>
              <w:keepLines w:val="0"/>
              <w:shd w:val="clear" w:color="auto" w:fill="auto"/>
              <w:bidi w:val="0"/>
              <w:jc w:val="left"/>
              <w:spacing w:before="0" w:after="0" w:line="230" w:lineRule="exact"/>
              <w:ind w:left="180" w:right="0" w:firstLine="0"/>
            </w:pPr>
            <w:r>
              <w:rPr>
                <w:rStyle w:val="CharStyle31"/>
              </w:rPr>
              <w:t xml:space="preserve">Трубки для теплоизоляции систем отопления и водоснабжения. Должны быть изготовлены из вспененного полиэтилена с замкнутой ячеистой структурой серого или темно-серго цвета. Температурный диапазон эксплуатации: не уже от </w:t>
            </w:r>
            <w:r>
              <w:rPr>
                <w:rStyle w:val="CharStyle31"/>
                <w:lang w:val="en-US" w:eastAsia="en-US" w:bidi="en-US"/>
              </w:rPr>
              <w:t xml:space="preserve">-50°C </w:t>
            </w:r>
            <w:r>
              <w:rPr>
                <w:rStyle w:val="CharStyle31"/>
              </w:rPr>
              <w:t xml:space="preserve">до </w:t>
            </w:r>
            <w:r>
              <w:rPr>
                <w:rStyle w:val="CharStyle31"/>
                <w:lang w:val="en-US" w:eastAsia="en-US" w:bidi="en-US"/>
              </w:rPr>
              <w:t xml:space="preserve">+95°C </w:t>
            </w:r>
            <w:r>
              <w:rPr>
                <w:rStyle w:val="CharStyle31"/>
              </w:rPr>
              <w:t>Трубки должны быть нетоксичны. Размеры: внутренний диаметр не менее 108 мм; толщина не менее 13 мм.</w:t>
            </w:r>
          </w:p>
        </w:tc>
      </w:tr>
      <w:tr>
        <w:trPr>
          <w:trHeight w:val="317" w:hRule="exact"/>
        </w:trPr>
        <w:tc>
          <w:tcPr>
            <w:shd w:val="clear" w:color="auto" w:fill="FFFFFF"/>
            <w:tcBorders>
              <w:left w:val="single" w:sz="4"/>
              <w:top w:val="single" w:sz="4"/>
              <w:bottom w:val="single" w:sz="4"/>
            </w:tcBorders>
            <w:vAlign w:val="top"/>
          </w:tcPr>
          <w:p>
            <w:pPr>
              <w:framePr w:w="1023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8" w:wrap="notBeside" w:vAnchor="text" w:hAnchor="text" w:xAlign="center" w:y="1"/>
              <w:widowControl w:val="0"/>
              <w:rPr>
                <w:sz w:val="10"/>
                <w:szCs w:val="10"/>
              </w:rPr>
            </w:pPr>
          </w:p>
        </w:tc>
      </w:tr>
    </w:tbl>
    <w:p>
      <w:pPr>
        <w:pStyle w:val="Style12"/>
        <w:framePr w:w="10238" w:wrap="notBeside" w:vAnchor="text" w:hAnchor="text" w:xAlign="center" w:y="1"/>
        <w:widowControl w:val="0"/>
        <w:keepNext w:val="0"/>
        <w:keepLines w:val="0"/>
        <w:shd w:val="clear" w:color="auto" w:fill="auto"/>
        <w:bidi w:val="0"/>
        <w:spacing w:before="0" w:after="0" w:line="317" w:lineRule="exact"/>
        <w:ind w:left="0" w:right="0" w:firstLine="0"/>
      </w:pPr>
      <w:r>
        <w:rPr>
          <w:rStyle w:val="CharStyle27"/>
        </w:rPr>
        <w:t>...»</w:t>
      </w:r>
      <w:r>
        <w:rPr>
          <w:lang w:val="ru-RU" w:eastAsia="ru-RU" w:bidi="ru-RU"/>
          <w:w w:val="100"/>
          <w:spacing w:val="0"/>
          <w:color w:val="000000"/>
          <w:position w:val="0"/>
        </w:rPr>
        <w:t xml:space="preserve"> (цитаты).</w:t>
      </w:r>
    </w:p>
    <w:p>
      <w:pPr>
        <w:pStyle w:val="Style12"/>
        <w:framePr w:w="10238" w:wrap="notBeside" w:vAnchor="text" w:hAnchor="text" w:xAlign="center" w:y="1"/>
        <w:widowControl w:val="0"/>
        <w:keepNext w:val="0"/>
        <w:keepLines w:val="0"/>
        <w:shd w:val="clear" w:color="auto" w:fill="auto"/>
        <w:bidi w:val="0"/>
        <w:spacing w:before="0" w:after="0" w:line="317" w:lineRule="exact"/>
        <w:ind w:left="0" w:right="0" w:firstLine="0"/>
      </w:pPr>
      <w:r>
        <w:rPr>
          <w:lang w:val="ru-RU" w:eastAsia="ru-RU" w:bidi="ru-RU"/>
          <w:w w:val="100"/>
          <w:spacing w:val="0"/>
          <w:color w:val="000000"/>
          <w:position w:val="0"/>
        </w:rPr>
        <w:t>При этом документация об Аукционе содержит Инструкцию по заполнению первых частей заявок участников, согласно которой: «.</w:t>
      </w:r>
    </w:p>
    <w:p>
      <w:pPr>
        <w:pStyle w:val="Style28"/>
        <w:framePr w:w="10238"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8.1.1. Если при описании данного вида показателей Заказчик использует такие слова или знаки как: «не более», «не должен (должна) быть более», «не должен (должна) быть менее», «не менее», «не выше», «не должен (должна) быть выше», «не ниже», «не должен (должна) быть выше», «от», «до», «&lt;» (означает «меньше или равно»), «&gt;» (означает «больше или равно»), «не превышает», «не должен (должна) превышать», знак «-»:</w:t>
      </w:r>
    </w:p>
    <w:p>
      <w:pPr>
        <w:widowControl w:val="0"/>
        <w:rPr>
          <w:sz w:val="2"/>
          <w:szCs w:val="2"/>
        </w:rPr>
      </w:pP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участник закупки должен указать конкретное значение показателя, соответствующее установленным Заказчиком требованиям, при этом крайние границы могут быть указаны в заявке участника закупки включительно. Если Заказчиком установлено только минимальное значение - то не менее минимального, а если установлено только максимальное значение - то не более максимального.</w:t>
      </w:r>
    </w:p>
    <w:p>
      <w:pPr>
        <w:pStyle w:val="Style32"/>
        <w:numPr>
          <w:ilvl w:val="0"/>
          <w:numId w:val="9"/>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Если при описании данного вида показателей Заказчик использовал такие слова или знаки как: «более», «менее», «выше», «ниже», «&lt;» (означает «меньше»), «&gt;» (означает «больше»), «свыше», «св.», «не должен быть &lt;», «не должен быть &gt;»:</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участник закупки должен указать конкретное значение показателя, соответствующее установленным Заказчиком требованиям, при этом крайние границы не могут быть указаны в заявке участника закупки. Если Заказчиком установлено только минимальное значение - то более минимального, а если установлено только максимальное значение - то менее максимального.</w:t>
      </w:r>
    </w:p>
    <w:p>
      <w:pPr>
        <w:pStyle w:val="Style32"/>
        <w:numPr>
          <w:ilvl w:val="0"/>
          <w:numId w:val="11"/>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Показатели товаров, в отношении которых установлены значения в диапазоне (в наименовании показателя используется слово «диапазон» или словосочетание «в диапазоне», а также значение фракции щебня, значение диаметра закрепляемой хомутом трубы, значение немерной длины) в заявке на участие в аукционе должны быть указаны диапазонным значением.</w:t>
      </w:r>
    </w:p>
    <w:p>
      <w:pPr>
        <w:pStyle w:val="Style7"/>
        <w:widowControl w:val="0"/>
        <w:keepNext w:val="0"/>
        <w:keepLines w:val="0"/>
        <w:shd w:val="clear" w:color="auto" w:fill="auto"/>
        <w:bidi w:val="0"/>
        <w:jc w:val="both"/>
        <w:spacing w:before="0" w:after="0" w:line="302" w:lineRule="exact"/>
        <w:ind w:left="20" w:right="0" w:firstLine="860"/>
      </w:pPr>
      <w:r>
        <w:rPr>
          <w:lang w:val="ru-RU" w:eastAsia="ru-RU" w:bidi="ru-RU"/>
          <w:w w:val="100"/>
          <w:spacing w:val="0"/>
          <w:color w:val="000000"/>
          <w:position w:val="0"/>
        </w:rPr>
        <w:t>... « (цитата).</w:t>
      </w:r>
    </w:p>
    <w:p>
      <w:pPr>
        <w:pStyle w:val="Style7"/>
        <w:widowControl w:val="0"/>
        <w:keepNext w:val="0"/>
        <w:keepLines w:val="0"/>
        <w:shd w:val="clear" w:color="auto" w:fill="auto"/>
        <w:bidi w:val="0"/>
        <w:jc w:val="both"/>
        <w:spacing w:before="0" w:after="0" w:line="302" w:lineRule="exact"/>
        <w:ind w:left="20" w:right="20" w:firstLine="860"/>
      </w:pPr>
      <w:r>
        <w:rPr>
          <w:lang w:val="ru-RU" w:eastAsia="ru-RU" w:bidi="ru-RU"/>
          <w:w w:val="100"/>
          <w:spacing w:val="0"/>
          <w:color w:val="000000"/>
          <w:position w:val="0"/>
        </w:rPr>
        <w:t>На заседании Комиссии представитель Уполномоченного органа пояснил, что Заявителем в составе своей первой части заявки под порядковым номером «5» представлены показатели товаров (материалов), используемых при выполнении работ противоречащие требованиям документации об Аукционе и положениям соответствующих государственных стандартов, а именно: «.</w:t>
      </w:r>
      <w:r>
        <w:rPr>
          <w:rStyle w:val="CharStyle34"/>
        </w:rPr>
        <w:t>по номенклатурной позиции №46 установлено требуемое значение «Заклепка медная по ГОСТ 10299-80. Номинальные размеры, мм: диаметр стержня от 12,0; длина до 50. Теоретическая масса 1000 штук заклепок: не менее 45,03 кг».</w:t>
      </w:r>
    </w:p>
    <w:p>
      <w:pPr>
        <w:pStyle w:val="Style1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В свою очередь, по данной номенклатурной позиции участником электронного аукциона предложено следующее значение «Заклепка медная </w:t>
      </w:r>
      <w:r>
        <w:rPr>
          <w:rStyle w:val="CharStyle20"/>
        </w:rPr>
        <w:t>по ГОСТ 10299-80</w:t>
      </w:r>
      <w:r>
        <w:rPr>
          <w:lang w:val="ru-RU" w:eastAsia="ru-RU" w:bidi="ru-RU"/>
          <w:w w:val="100"/>
          <w:spacing w:val="0"/>
          <w:color w:val="000000"/>
          <w:position w:val="0"/>
        </w:rPr>
        <w:t xml:space="preserve">. Номинальные размеры, мм: </w:t>
      </w:r>
      <w:r>
        <w:rPr>
          <w:rStyle w:val="CharStyle20"/>
        </w:rPr>
        <w:t>диаметр стержня 12,0; длина 50</w:t>
      </w:r>
      <w:r>
        <w:rPr>
          <w:lang w:val="ru-RU" w:eastAsia="ru-RU" w:bidi="ru-RU"/>
          <w:w w:val="100"/>
          <w:spacing w:val="0"/>
          <w:color w:val="000000"/>
          <w:position w:val="0"/>
        </w:rPr>
        <w:t xml:space="preserve">. Теоретическая масса 1000 штук заклепок: </w:t>
      </w:r>
      <w:r>
        <w:rPr>
          <w:rStyle w:val="CharStyle20"/>
        </w:rPr>
        <w:t>53,91 кг</w:t>
      </w:r>
      <w:r>
        <w:rPr>
          <w:lang w:val="ru-RU" w:eastAsia="ru-RU" w:bidi="ru-RU"/>
          <w:w w:val="100"/>
          <w:spacing w:val="0"/>
          <w:color w:val="000000"/>
          <w:position w:val="0"/>
        </w:rPr>
        <w:t>» (цитата из заявки).</w:t>
      </w:r>
    </w:p>
    <w:p>
      <w:pPr>
        <w:pStyle w:val="Style1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Однако, в соответствии с приложением к ГОСТ 10299-80 «Заклепки с полукруглой головкой классов точности В и С. Технические условия» </w:t>
      </w:r>
      <w:r>
        <w:rPr>
          <w:rStyle w:val="CharStyle20"/>
        </w:rPr>
        <w:t>с учетом примечания к таблице</w:t>
      </w:r>
      <w:r>
        <w:rPr>
          <w:lang w:val="ru-RU" w:eastAsia="ru-RU" w:bidi="ru-RU"/>
          <w:w w:val="100"/>
          <w:spacing w:val="0"/>
          <w:color w:val="000000"/>
          <w:position w:val="0"/>
        </w:rPr>
        <w:t>: теоретическая масса 1000 штук медных заклепок длиной 50 мм при номинальном диаметре стержня 12 мм будет равняться 53,91*1,134=61,13 кг.</w:t>
      </w:r>
    </w:p>
    <w:p>
      <w:pPr>
        <w:pStyle w:val="Style1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1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По номенклатурной позиции №141 участником электронного аукциона предложено значение «</w:t>
      </w:r>
      <w:r>
        <w:rPr>
          <w:rStyle w:val="CharStyle20"/>
        </w:rPr>
        <w:t>Трубки для теплоизоляции систем отопления и водоснабжения</w:t>
      </w:r>
      <w:r>
        <w:rPr>
          <w:lang w:val="ru-RU" w:eastAsia="ru-RU" w:bidi="ru-RU"/>
          <w:w w:val="100"/>
          <w:spacing w:val="0"/>
          <w:color w:val="000000"/>
          <w:position w:val="0"/>
        </w:rPr>
        <w:t xml:space="preserve">. Изготовлены из вспененного полиэтилена с замкнутой ячеистой структурой серого цвета. Температурный диапазон эксплуатации: от </w:t>
      </w:r>
      <w:r>
        <w:rPr>
          <w:lang w:val="en-US" w:eastAsia="en-US" w:bidi="en-US"/>
          <w:w w:val="100"/>
          <w:spacing w:val="0"/>
          <w:color w:val="000000"/>
          <w:position w:val="0"/>
        </w:rPr>
        <w:t xml:space="preserve">-80°C </w:t>
      </w:r>
      <w:r>
        <w:rPr>
          <w:lang w:val="ru-RU" w:eastAsia="ru-RU" w:bidi="ru-RU"/>
          <w:w w:val="100"/>
          <w:spacing w:val="0"/>
          <w:color w:val="000000"/>
          <w:position w:val="0"/>
        </w:rPr>
        <w:t xml:space="preserve">до </w:t>
      </w:r>
      <w:r>
        <w:rPr>
          <w:lang w:val="en-US" w:eastAsia="en-US" w:bidi="en-US"/>
          <w:w w:val="100"/>
          <w:spacing w:val="0"/>
          <w:color w:val="000000"/>
          <w:position w:val="0"/>
        </w:rPr>
        <w:t xml:space="preserve">+95°C </w:t>
      </w:r>
      <w:r>
        <w:rPr>
          <w:lang w:val="ru-RU" w:eastAsia="ru-RU" w:bidi="ru-RU"/>
          <w:w w:val="100"/>
          <w:spacing w:val="0"/>
          <w:color w:val="000000"/>
          <w:position w:val="0"/>
        </w:rPr>
        <w:t xml:space="preserve">Трубки нетоксичны. </w:t>
      </w:r>
      <w:r>
        <w:rPr>
          <w:rStyle w:val="CharStyle20"/>
        </w:rPr>
        <w:t>Размеры: внутренний диаметр 108 мм;</w:t>
      </w:r>
      <w:r>
        <w:rPr>
          <w:lang w:val="ru-RU" w:eastAsia="ru-RU" w:bidi="ru-RU"/>
          <w:w w:val="100"/>
          <w:spacing w:val="0"/>
          <w:color w:val="000000"/>
          <w:position w:val="0"/>
        </w:rPr>
        <w:t xml:space="preserve"> </w:t>
      </w:r>
      <w:r>
        <w:rPr>
          <w:rStyle w:val="CharStyle20"/>
        </w:rPr>
        <w:t xml:space="preserve">толщина </w:t>
      </w:r>
      <w:r>
        <w:rPr>
          <w:rStyle w:val="CharStyle22"/>
        </w:rPr>
        <w:t>13 м</w:t>
      </w:r>
      <w:r>
        <w:rPr>
          <w:lang w:val="ru-RU" w:eastAsia="ru-RU" w:bidi="ru-RU"/>
          <w:w w:val="100"/>
          <w:spacing w:val="0"/>
          <w:color w:val="000000"/>
          <w:position w:val="0"/>
        </w:rPr>
        <w:t>» (цитата из заявки).</w:t>
      </w:r>
    </w:p>
    <w:p>
      <w:pPr>
        <w:pStyle w:val="Style18"/>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Однако предложенное участником электронного аукциона значение толщины трубок </w:t>
      </w:r>
      <w:r>
        <w:rPr>
          <w:rStyle w:val="CharStyle21"/>
        </w:rPr>
        <w:t xml:space="preserve">в размере 13 м </w:t>
      </w:r>
      <w:r>
        <w:rPr>
          <w:lang w:val="ru-RU" w:eastAsia="ru-RU" w:bidi="ru-RU"/>
          <w:w w:val="100"/>
          <w:spacing w:val="0"/>
          <w:color w:val="000000"/>
          <w:position w:val="0"/>
        </w:rPr>
        <w:t>при заявленном внутреннем диаметре 108 мм и предлагаемом назначении не является достоверным, и не предусмотрено ни одним из производителей данного вида товаров, что не позволяет Единой комиссии установить соответствие предлагаемого участником товара потребностям заказчика.</w:t>
      </w:r>
      <w:r>
        <w:rPr>
          <w:rStyle w:val="CharStyle35"/>
        </w:rPr>
        <w:t>...»</w:t>
      </w:r>
      <w:r>
        <w:rPr>
          <w:rStyle w:val="CharStyle36"/>
        </w:rPr>
        <w:t xml:space="preserve"> (цитата 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«5» (Заявитель), предоставленную представителем Уполномоченного органа, положения соответствующих ГОСТов, с учетом пояснений представителей Уполномоченного органа и Заказчика,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w:t>
      </w:r>
      <w:r>
        <w:br w:type="page"/>
      </w:r>
    </w:p>
    <w:p>
      <w:pPr>
        <w:pStyle w:val="Style7"/>
        <w:widowControl w:val="0"/>
        <w:keepNext w:val="0"/>
        <w:keepLines w:val="0"/>
        <w:shd w:val="clear" w:color="auto" w:fill="auto"/>
        <w:bidi w:val="0"/>
        <w:jc w:val="left"/>
        <w:spacing w:before="0" w:after="2" w:line="260" w:lineRule="exact"/>
        <w:ind w:left="0" w:right="0" w:firstLine="0"/>
      </w:pPr>
      <w:r>
        <w:rPr>
          <w:lang w:val="ru-RU" w:eastAsia="ru-RU" w:bidi="ru-RU"/>
          <w:w w:val="100"/>
          <w:spacing w:val="0"/>
          <w:color w:val="000000"/>
          <w:position w:val="0"/>
        </w:rPr>
        <w:t>требования статей 66, 67 Закона о контрактной системе.</w:t>
      </w:r>
    </w:p>
    <w:p>
      <w:pPr>
        <w:pStyle w:val="Style7"/>
        <w:widowControl w:val="0"/>
        <w:keepNext w:val="0"/>
        <w:keepLines w:val="0"/>
        <w:shd w:val="clear" w:color="auto" w:fill="auto"/>
        <w:bidi w:val="0"/>
        <w:jc w:val="both"/>
        <w:spacing w:before="0" w:after="243" w:line="260" w:lineRule="exact"/>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109"/>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184"/>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 12552.</w:t>
      </w:r>
    </w:p>
    <w:p>
      <w:pPr>
        <w:pStyle w:val="Style7"/>
        <w:framePr w:w="2163" w:h="1929" w:wrap="around" w:vAnchor="text" w:hAnchor="margin" w:x="7780" w:y="970"/>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3"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footnotePr>
        <w:pos w:val="pageBottom"/>
        <w:numFmt w:val="decimal"/>
        <w:numRestart w:val="continuous"/>
      </w:footnotePr>
      <w:type w:val="continuous"/>
      <w:pgSz w:w="11906" w:h="16838"/>
      <w:pgMar w:top="1429" w:left="845" w:right="687" w:bottom="86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2.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8.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8.%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Подпись к таблице (2)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Подпись к таблице (2)"/>
    <w:basedOn w:val="CharStyle13"/>
    <w:rPr>
      <w:lang w:val="ru-RU" w:eastAsia="ru-RU" w:bidi="ru-RU"/>
      <w:u w:val="single"/>
      <w:w w:val="100"/>
      <w:spacing w:val="0"/>
      <w:color w:val="000000"/>
      <w:position w:val="0"/>
    </w:rPr>
  </w:style>
  <w:style w:type="character" w:customStyle="1" w:styleId="CharStyle15">
    <w:name w:val="Подпись к таблице (2)"/>
    <w:basedOn w:val="CharStyle13"/>
    <w:rPr>
      <w:lang w:val="ru-RU" w:eastAsia="ru-RU" w:bidi="ru-RU"/>
      <w:u w:val="single"/>
      <w:w w:val="100"/>
      <w:spacing w:val="0"/>
      <w:color w:val="000000"/>
      <w:position w:val="0"/>
    </w:rPr>
  </w:style>
  <w:style w:type="character" w:customStyle="1" w:styleId="CharStyle16">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17">
    <w:name w:val="Основной текст + 11 pt"/>
    <w:basedOn w:val="CharStyle9"/>
    <w:rPr>
      <w:lang w:val="ru-RU" w:eastAsia="ru-RU" w:bidi="ru-RU"/>
      <w:sz w:val="22"/>
      <w:szCs w:val="22"/>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
    <w:basedOn w:val="CharStyle19"/>
    <w:rPr>
      <w:lang w:val="ru-RU" w:eastAsia="ru-RU" w:bidi="ru-RU"/>
      <w:u w:val="single"/>
      <w:w w:val="100"/>
      <w:spacing w:val="0"/>
      <w:color w:val="000000"/>
      <w:position w:val="0"/>
    </w:rPr>
  </w:style>
  <w:style w:type="character" w:customStyle="1" w:styleId="CharStyle21">
    <w:name w:val="Основной текст (5) + Полужирный"/>
    <w:basedOn w:val="CharStyle19"/>
    <w:rPr>
      <w:lang w:val="ru-RU" w:eastAsia="ru-RU" w:bidi="ru-RU"/>
      <w:b/>
      <w:bCs/>
      <w:w w:val="100"/>
      <w:spacing w:val="0"/>
      <w:color w:val="000000"/>
      <w:position w:val="0"/>
    </w:rPr>
  </w:style>
  <w:style w:type="character" w:customStyle="1" w:styleId="CharStyle22">
    <w:name w:val="Основной текст (5) + Полужирный"/>
    <w:basedOn w:val="CharStyle19"/>
    <w:rPr>
      <w:lang w:val="ru-RU" w:eastAsia="ru-RU" w:bidi="ru-RU"/>
      <w:b/>
      <w:bCs/>
      <w:u w:val="single"/>
      <w:w w:val="100"/>
      <w:spacing w:val="0"/>
      <w:color w:val="000000"/>
      <w:position w:val="0"/>
    </w:rPr>
  </w:style>
  <w:style w:type="character" w:customStyle="1" w:styleId="CharStyle23">
    <w:name w:val="Основной текст"/>
    <w:basedOn w:val="CharStyle9"/>
    <w:rPr>
      <w:lang w:val="ru-RU" w:eastAsia="ru-RU" w:bidi="ru-RU"/>
      <w:w w:val="100"/>
      <w:spacing w:val="0"/>
      <w:color w:val="000000"/>
      <w:position w:val="0"/>
    </w:rPr>
  </w:style>
  <w:style w:type="character" w:customStyle="1" w:styleId="CharStyle25">
    <w:name w:val="Основной текст (6)_"/>
    <w:basedOn w:val="DefaultParagraphFont"/>
    <w:link w:val="Style24"/>
    <w:rPr>
      <w:b/>
      <w:bCs/>
      <w:i w:val="0"/>
      <w:iCs w:val="0"/>
      <w:u w:val="none"/>
      <w:strike w:val="0"/>
      <w:smallCaps w:val="0"/>
      <w:sz w:val="19"/>
      <w:szCs w:val="19"/>
      <w:rFonts w:ascii="Times New Roman" w:eastAsia="Times New Roman" w:hAnsi="Times New Roman" w:cs="Times New Roman"/>
    </w:rPr>
  </w:style>
  <w:style w:type="character" w:customStyle="1" w:styleId="CharStyle26">
    <w:name w:val="Основной текст (6)"/>
    <w:basedOn w:val="CharStyle25"/>
    <w:rPr>
      <w:lang w:val="ru-RU" w:eastAsia="ru-RU" w:bidi="ru-RU"/>
      <w:u w:val="single"/>
      <w:w w:val="100"/>
      <w:spacing w:val="0"/>
      <w:color w:val="000000"/>
      <w:position w:val="0"/>
    </w:rPr>
  </w:style>
  <w:style w:type="character" w:customStyle="1" w:styleId="CharStyle27">
    <w:name w:val="Подпись к таблице (2) + Интервал 1 pt"/>
    <w:basedOn w:val="CharStyle13"/>
    <w:rPr>
      <w:lang w:val="ru-RU" w:eastAsia="ru-RU" w:bidi="ru-RU"/>
      <w:w w:val="100"/>
      <w:spacing w:val="30"/>
      <w:color w:val="000000"/>
      <w:position w:val="0"/>
    </w:rPr>
  </w:style>
  <w:style w:type="character" w:customStyle="1" w:styleId="CharStyle29">
    <w:name w:val="Подпись к таблице_"/>
    <w:basedOn w:val="DefaultParagraphFont"/>
    <w:link w:val="Style28"/>
    <w:rPr>
      <w:b w:val="0"/>
      <w:bCs w:val="0"/>
      <w:i w:val="0"/>
      <w:iCs w:val="0"/>
      <w:u w:val="none"/>
      <w:strike w:val="0"/>
      <w:smallCaps w:val="0"/>
      <w:sz w:val="19"/>
      <w:szCs w:val="19"/>
      <w:rFonts w:ascii="Times New Roman" w:eastAsia="Times New Roman" w:hAnsi="Times New Roman" w:cs="Times New Roman"/>
    </w:rPr>
  </w:style>
  <w:style w:type="character" w:customStyle="1" w:styleId="CharStyle30">
    <w:name w:val="Основной текст + 9,5 pt,Полужирный"/>
    <w:basedOn w:val="CharStyle9"/>
    <w:rPr>
      <w:lang w:val="ru-RU" w:eastAsia="ru-RU" w:bidi="ru-RU"/>
      <w:b/>
      <w:bCs/>
      <w:sz w:val="19"/>
      <w:szCs w:val="19"/>
      <w:w w:val="100"/>
      <w:spacing w:val="0"/>
      <w:color w:val="000000"/>
      <w:position w:val="0"/>
    </w:rPr>
  </w:style>
  <w:style w:type="character" w:customStyle="1" w:styleId="CharStyle31">
    <w:name w:val="Основной текст + 9,5 pt"/>
    <w:basedOn w:val="CharStyle9"/>
    <w:rPr>
      <w:lang w:val="ru-RU" w:eastAsia="ru-RU" w:bidi="ru-RU"/>
      <w:sz w:val="19"/>
      <w:szCs w:val="19"/>
      <w:w w:val="100"/>
      <w:spacing w:val="0"/>
      <w:color w:val="000000"/>
      <w:position w:val="0"/>
    </w:rPr>
  </w:style>
  <w:style w:type="character" w:customStyle="1" w:styleId="CharStyle33">
    <w:name w:val="Основной текст (7)_"/>
    <w:basedOn w:val="DefaultParagraphFont"/>
    <w:link w:val="Style32"/>
    <w:rPr>
      <w:b w:val="0"/>
      <w:bCs w:val="0"/>
      <w:i w:val="0"/>
      <w:iCs w:val="0"/>
      <w:u w:val="none"/>
      <w:strike w:val="0"/>
      <w:smallCaps w:val="0"/>
      <w:sz w:val="19"/>
      <w:szCs w:val="19"/>
      <w:rFonts w:ascii="Times New Roman" w:eastAsia="Times New Roman" w:hAnsi="Times New Roman" w:cs="Times New Roman"/>
    </w:rPr>
  </w:style>
  <w:style w:type="character" w:customStyle="1" w:styleId="CharStyle34">
    <w:name w:val="Основной текст + 11 pt"/>
    <w:basedOn w:val="CharStyle9"/>
    <w:rPr>
      <w:lang w:val="ru-RU" w:eastAsia="ru-RU" w:bidi="ru-RU"/>
      <w:sz w:val="22"/>
      <w:szCs w:val="22"/>
      <w:w w:val="100"/>
      <w:spacing w:val="0"/>
      <w:color w:val="000000"/>
      <w:position w:val="0"/>
    </w:rPr>
  </w:style>
  <w:style w:type="character" w:customStyle="1" w:styleId="CharStyle35">
    <w:name w:val="Основной текст (5) + 13 pt,Интервал 1 pt"/>
    <w:basedOn w:val="CharStyle19"/>
    <w:rPr>
      <w:lang w:val="ru-RU" w:eastAsia="ru-RU" w:bidi="ru-RU"/>
      <w:sz w:val="26"/>
      <w:szCs w:val="26"/>
      <w:w w:val="100"/>
      <w:spacing w:val="30"/>
      <w:color w:val="000000"/>
      <w:position w:val="0"/>
    </w:rPr>
  </w:style>
  <w:style w:type="character" w:customStyle="1" w:styleId="CharStyle36">
    <w:name w:val="Основной текст (5) + 13 pt"/>
    <w:basedOn w:val="CharStyle19"/>
    <w:rPr>
      <w:lang w:val="ru-RU" w:eastAsia="ru-RU" w:bidi="ru-RU"/>
      <w:sz w:val="26"/>
      <w:szCs w:val="26"/>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spacing w:val="1"/>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ind w:hanging="26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Подпись к таблице (2)"/>
    <w:basedOn w:val="Normal"/>
    <w:link w:val="CharStyle13"/>
    <w:pPr>
      <w:widowControl w:val="0"/>
      <w:shd w:val="clear" w:color="auto" w:fill="FFFFFF"/>
      <w:jc w:val="both"/>
      <w:spacing w:line="322" w:lineRule="exact"/>
      <w:ind w:firstLine="700"/>
    </w:pPr>
    <w:rPr>
      <w:b w:val="0"/>
      <w:bCs w:val="0"/>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spacing w:line="230" w:lineRule="exact"/>
      <w:ind w:firstLine="8680"/>
    </w:pPr>
    <w:rPr>
      <w:b/>
      <w:bCs/>
      <w:i w:val="0"/>
      <w:iCs w:val="0"/>
      <w:u w:val="none"/>
      <w:strike w:val="0"/>
      <w:smallCaps w:val="0"/>
      <w:sz w:val="19"/>
      <w:szCs w:val="19"/>
      <w:rFonts w:ascii="Times New Roman" w:eastAsia="Times New Roman" w:hAnsi="Times New Roman" w:cs="Times New Roman"/>
    </w:rPr>
  </w:style>
  <w:style w:type="paragraph" w:customStyle="1" w:styleId="Style28">
    <w:name w:val="Подпись к таблице"/>
    <w:basedOn w:val="Normal"/>
    <w:link w:val="CharStyle29"/>
    <w:pPr>
      <w:widowControl w:val="0"/>
      <w:shd w:val="clear" w:color="auto" w:fill="FFFFFF"/>
      <w:jc w:val="both"/>
      <w:spacing w:line="230" w:lineRule="exact"/>
      <w:ind w:firstLine="860"/>
    </w:pPr>
    <w:rPr>
      <w:b w:val="0"/>
      <w:bCs w:val="0"/>
      <w:i w:val="0"/>
      <w:iCs w:val="0"/>
      <w:u w:val="none"/>
      <w:strike w:val="0"/>
      <w:smallCaps w:val="0"/>
      <w:sz w:val="19"/>
      <w:szCs w:val="19"/>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line="226" w:lineRule="exact"/>
      <w:ind w:firstLine="860"/>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