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230" w:h="3098" w:wrap="around" w:vAnchor="text" w:hAnchor="margin" w:x="-253" w:y="3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ФЕДЕРАЛЬНАЯ А н Г И М ОНО П ОЛ ЬН АЯ СЛ </w:t>
      </w:r>
      <w:r>
        <w:rPr>
          <w:rStyle w:val="CharStyle5"/>
          <w:b w:val="0"/>
          <w:bCs w:val="0"/>
          <w:spacing w:val="0"/>
        </w:rPr>
        <w:t xml:space="preserve">У </w:t>
      </w:r>
      <w:r>
        <w:rPr>
          <w:lang w:val="ru-RU" w:eastAsia="ru-RU" w:bidi="ru-RU"/>
          <w:w w:val="100"/>
          <w:spacing w:val="0"/>
          <w:color w:val="000000"/>
          <w:position w:val="0"/>
        </w:rPr>
        <w:t>ЖБА</w:t>
      </w:r>
    </w:p>
    <w:p>
      <w:pPr>
        <w:pStyle w:val="Style6"/>
        <w:framePr w:w="4230" w:h="3098" w:wrap="around" w:vAnchor="text" w:hAnchor="margin" w:x="-253" w:y="33"/>
        <w:widowControl w:val="0"/>
        <w:keepNext w:val="0"/>
        <w:keepLines w:val="0"/>
        <w:shd w:val="clear" w:color="auto" w:fill="auto"/>
        <w:bidi w:val="0"/>
        <w:spacing w:before="0" w:after="0"/>
        <w:ind w:left="40" w:right="0" w:firstLine="0"/>
      </w:pPr>
      <w:r>
        <w:rPr>
          <w:lang w:val="ru-RU" w:eastAsia="ru-RU" w:bidi="ru-RU"/>
          <w:w w:val="100"/>
          <w:spacing w:val="10"/>
          <w:color w:val="000000"/>
          <w:position w:val="0"/>
        </w:rPr>
        <w:t>УПРАВЛЕНИЕ Федеральной антимонопольной службы но Липецкой области (Липецкое УФАС России)</w:t>
      </w:r>
    </w:p>
    <w:p>
      <w:pPr>
        <w:pStyle w:val="Style8"/>
        <w:framePr w:w="4230" w:h="3098" w:wrap="around" w:vAnchor="text" w:hAnchor="margin" w:x="-253" w:y="3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пл Плеханова. I, г. Липецк, 398050 тел./факс (4742) 27-14-82 </w:t>
      </w:r>
      <w:r>
        <w:rPr>
          <w:lang w:val="en-US" w:eastAsia="en-US" w:bidi="en-US"/>
          <w:w w:val="100"/>
          <w:spacing w:val="0"/>
          <w:color w:val="000000"/>
          <w:position w:val="0"/>
        </w:rPr>
        <w:t xml:space="preserve">e-mail: io48(aifas.gov.ni </w:t>
      </w:r>
      <w:r>
        <w:fldChar w:fldCharType="begin"/>
      </w:r>
      <w:r>
        <w:rPr>
          <w:color w:val="000000"/>
        </w:rPr>
        <w:instrText> HYPERLINK "http://www.lipetsk" </w:instrText>
      </w:r>
      <w:r>
        <w:fldChar w:fldCharType="separate"/>
      </w:r>
      <w:r>
        <w:rPr>
          <w:rStyle w:val="Hyperlink"/>
          <w:lang w:val="en-US" w:eastAsia="en-US" w:bidi="en-US"/>
          <w:w w:val="100"/>
          <w:spacing w:val="0"/>
          <w:position w:val="0"/>
        </w:rPr>
        <w:t>http://www.lipetsk</w:t>
      </w:r>
      <w:r>
        <w:fldChar w:fldCharType="end"/>
      </w:r>
      <w:r>
        <w:rPr>
          <w:lang w:val="en-US" w:eastAsia="en-US" w:bidi="en-US"/>
          <w:w w:val="100"/>
          <w:spacing w:val="0"/>
          <w:color w:val="000000"/>
          <w:position w:val="0"/>
        </w:rPr>
        <w:t xml:space="preserve"> las.gov.ru</w:t>
      </w:r>
    </w:p>
    <w:p>
      <w:pPr>
        <w:pStyle w:val="Style10"/>
        <w:framePr w:w="4230" w:h="3098" w:wrap="around" w:vAnchor="text" w:hAnchor="margin" w:x="-253" w:y="33"/>
        <w:tabs>
          <w:tab w:leader="none" w:pos="1883" w:val="left"/>
        </w:tabs>
        <w:widowControl w:val="0"/>
        <w:keepNext w:val="0"/>
        <w:keepLines w:val="0"/>
        <w:shd w:val="clear" w:color="auto" w:fill="auto"/>
        <w:bidi w:val="0"/>
        <w:spacing w:before="0" w:after="324" w:line="260" w:lineRule="exact"/>
        <w:ind w:left="40" w:right="0" w:firstLine="0"/>
      </w:pPr>
      <w:r>
        <w:rPr>
          <w:rStyle w:val="CharStyle12"/>
          <w:i/>
          <w:iCs/>
          <w:spacing w:val="0"/>
        </w:rPr>
        <w:t>W/SASKL</w:t>
      </w:r>
      <w:r>
        <w:rPr>
          <w:rStyle w:val="CharStyle13"/>
          <w:lang w:val="en-US" w:eastAsia="en-US" w:bidi="en-US"/>
          <w:i w:val="0"/>
          <w:iCs w:val="0"/>
        </w:rPr>
        <w:tab/>
      </w:r>
      <w:r>
        <w:rPr>
          <w:rStyle w:val="CharStyle14"/>
          <w:vertAlign w:val="subscript"/>
          <w:i w:val="0"/>
          <w:iCs w:val="0"/>
        </w:rPr>
        <w:t>№</w:t>
      </w:r>
    </w:p>
    <w:p>
      <w:pPr>
        <w:pStyle w:val="Style8"/>
        <w:framePr w:w="4230" w:h="3098" w:wrap="around" w:vAnchor="text" w:hAnchor="margin" w:x="-253" w:y="33"/>
        <w:tabs>
          <w:tab w:leader="underscore" w:pos="1878" w:val="left"/>
          <w:tab w:leader="underscore" w:pos="4154" w:val="left"/>
        </w:tabs>
        <w:widowControl w:val="0"/>
        <w:keepNext w:val="0"/>
        <w:keepLines w:val="0"/>
        <w:shd w:val="clear" w:color="auto" w:fill="auto"/>
        <w:bidi w:val="0"/>
        <w:jc w:val="both"/>
        <w:spacing w:before="0" w:after="0" w:line="160" w:lineRule="exact"/>
        <w:ind w:left="40" w:right="0" w:firstLine="0"/>
      </w:pPr>
      <w:r>
        <w:rPr>
          <w:lang w:val="ru-RU" w:eastAsia="ru-RU" w:bidi="ru-RU"/>
          <w:w w:val="100"/>
          <w:spacing w:val="0"/>
          <w:color w:val="000000"/>
          <w:position w:val="0"/>
        </w:rPr>
        <w:t xml:space="preserve">Па </w:t>
      </w:r>
      <w:r>
        <w:rPr>
          <w:lang w:val="en-US" w:eastAsia="en-US" w:bidi="en-US"/>
          <w:w w:val="100"/>
          <w:spacing w:val="0"/>
          <w:color w:val="000000"/>
          <w:position w:val="0"/>
        </w:rPr>
        <w:t>№</w:t>
        <w:tab/>
      </w:r>
      <w:r>
        <w:rPr>
          <w:lang w:val="ru-RU" w:eastAsia="ru-RU" w:bidi="ru-RU"/>
          <w:w w:val="100"/>
          <w:spacing w:val="0"/>
          <w:color w:val="000000"/>
          <w:position w:val="0"/>
        </w:rPr>
        <w:t xml:space="preserve">от </w:t>
        <w:tab/>
      </w:r>
    </w:p>
    <w:p>
      <w:pPr>
        <w:pStyle w:val="Style17"/>
        <w:widowControl w:val="0"/>
        <w:keepNext w:val="0"/>
        <w:keepLines w:val="0"/>
        <w:shd w:val="clear" w:color="auto" w:fill="auto"/>
        <w:bidi w:val="0"/>
        <w:jc w:val="left"/>
        <w:spacing w:before="0" w:after="682" w:line="240" w:lineRule="exact"/>
        <w:ind w:left="1420" w:right="0" w:firstLine="0"/>
      </w:pPr>
      <w:r>
        <w:rPr>
          <w:lang w:val="ru-RU" w:eastAsia="ru-RU" w:bidi="ru-RU"/>
          <w:sz w:val="24"/>
          <w:szCs w:val="24"/>
          <w:w w:val="100"/>
          <w:color w:val="000000"/>
          <w:position w:val="0"/>
        </w:rPr>
        <w:t>ООО «НовТехСтрой»</w:t>
      </w:r>
    </w:p>
    <w:p>
      <w:pPr>
        <w:pStyle w:val="Style17"/>
        <w:widowControl w:val="0"/>
        <w:keepNext w:val="0"/>
        <w:keepLines w:val="0"/>
        <w:shd w:val="clear" w:color="auto" w:fill="auto"/>
        <w:bidi w:val="0"/>
        <w:jc w:val="left"/>
        <w:spacing w:before="0" w:after="622" w:line="240" w:lineRule="exact"/>
        <w:ind w:left="1420" w:right="0" w:firstLine="0"/>
      </w:pPr>
      <w:r>
        <w:fldChar w:fldCharType="begin"/>
      </w:r>
      <w:r>
        <w:rPr>
          <w:color w:val="000000"/>
        </w:rPr>
        <w:instrText> HYPERLINK "mailto:new_ts@mail.ru" </w:instrText>
      </w:r>
      <w:r>
        <w:fldChar w:fldCharType="separate"/>
      </w:r>
      <w:r>
        <w:rPr>
          <w:rStyle w:val="Hyperlink"/>
          <w:lang w:val="en-US" w:eastAsia="en-US" w:bidi="en-US"/>
          <w:sz w:val="24"/>
          <w:szCs w:val="24"/>
          <w:w w:val="100"/>
          <w:position w:val="0"/>
        </w:rPr>
        <w:t>new_ts@mail.ru</w:t>
      </w:r>
      <w:r>
        <w:fldChar w:fldCharType="end"/>
      </w:r>
    </w:p>
    <w:p>
      <w:pPr>
        <w:pStyle w:val="Style17"/>
        <w:widowControl w:val="0"/>
        <w:keepNext w:val="0"/>
        <w:keepLines w:val="0"/>
        <w:shd w:val="clear" w:color="auto" w:fill="auto"/>
        <w:bidi w:val="0"/>
        <w:jc w:val="left"/>
        <w:spacing w:before="0" w:after="33" w:line="326" w:lineRule="exact"/>
        <w:ind w:left="1420" w:right="500" w:firstLine="0"/>
      </w:pPr>
      <w:r>
        <w:rPr>
          <w:lang w:val="ru-RU" w:eastAsia="ru-RU" w:bidi="ru-RU"/>
          <w:sz w:val="24"/>
          <w:szCs w:val="24"/>
          <w:w w:val="100"/>
          <w:color w:val="000000"/>
          <w:position w:val="0"/>
        </w:rPr>
        <w:t>Государственное бюджетное общеобразовательное учреждение Липецкой области "Специальная школа-интернат г.Грязи"</w:t>
      </w:r>
    </w:p>
    <w:p>
      <w:pPr>
        <w:pStyle w:val="Style17"/>
        <w:widowControl w:val="0"/>
        <w:keepNext w:val="0"/>
        <w:keepLines w:val="0"/>
        <w:shd w:val="clear" w:color="auto" w:fill="auto"/>
        <w:bidi w:val="0"/>
        <w:jc w:val="left"/>
        <w:spacing w:before="0" w:after="0" w:line="960" w:lineRule="exact"/>
        <w:ind w:left="5380" w:right="0" w:firstLine="0"/>
      </w:pPr>
      <w:r>
        <w:fldChar w:fldCharType="begin"/>
      </w:r>
      <w:r>
        <w:rPr>
          <w:color w:val="000000"/>
        </w:rPr>
        <w:instrText> HYPERLINK "mailto:detdomm@griazy.lipetsk.ru" </w:instrText>
      </w:r>
      <w:r>
        <w:fldChar w:fldCharType="separate"/>
      </w:r>
      <w:r>
        <w:rPr>
          <w:rStyle w:val="Hyperlink"/>
          <w:lang w:val="en-US" w:eastAsia="en-US" w:bidi="en-US"/>
          <w:sz w:val="24"/>
          <w:szCs w:val="24"/>
          <w:w w:val="100"/>
          <w:position w:val="0"/>
        </w:rPr>
        <w:t>detdomm@griazy.lipetsk.ru</w:t>
      </w:r>
      <w:r>
        <w:fldChar w:fldCharType="end"/>
      </w:r>
    </w:p>
    <w:p>
      <w:pPr>
        <w:pStyle w:val="Style17"/>
        <w:widowControl w:val="0"/>
        <w:keepNext w:val="0"/>
        <w:keepLines w:val="0"/>
        <w:shd w:val="clear" w:color="auto" w:fill="auto"/>
        <w:bidi w:val="0"/>
        <w:jc w:val="left"/>
        <w:spacing w:before="0" w:after="0" w:line="960" w:lineRule="exact"/>
        <w:ind w:left="5380" w:right="0" w:firstLine="0"/>
      </w:pPr>
      <w:r>
        <w:rPr>
          <w:lang w:val="ru-RU" w:eastAsia="ru-RU" w:bidi="ru-RU"/>
          <w:sz w:val="24"/>
          <w:szCs w:val="24"/>
          <w:w w:val="100"/>
          <w:color w:val="000000"/>
          <w:position w:val="0"/>
        </w:rPr>
        <w:t>АО «ЭТС»</w:t>
      </w:r>
    </w:p>
    <w:p>
      <w:pPr>
        <w:pStyle w:val="Style17"/>
        <w:widowControl w:val="0"/>
        <w:keepNext w:val="0"/>
        <w:keepLines w:val="0"/>
        <w:shd w:val="clear" w:color="auto" w:fill="auto"/>
        <w:bidi w:val="0"/>
        <w:jc w:val="left"/>
        <w:spacing w:before="0" w:after="0" w:line="960" w:lineRule="exact"/>
        <w:ind w:left="5380" w:right="0" w:firstLine="0"/>
      </w:pPr>
      <w:r>
        <w:fldChar w:fldCharType="begin"/>
      </w:r>
      <w:r>
        <w:rPr>
          <w:color w:val="000000"/>
        </w:rPr>
        <w:instrText> HYPERLINK "mailto:auditors@etpz.ru" </w:instrText>
      </w:r>
      <w:r>
        <w:fldChar w:fldCharType="separate"/>
      </w:r>
      <w:r>
        <w:rPr>
          <w:rStyle w:val="Hyperlink"/>
          <w:lang w:val="en-US" w:eastAsia="en-US" w:bidi="en-US"/>
          <w:sz w:val="24"/>
          <w:szCs w:val="24"/>
          <w:w w:val="100"/>
          <w:position w:val="0"/>
        </w:rPr>
        <w:t>auditors@etpz.ru</w:t>
      </w:r>
      <w:r>
        <w:fldChar w:fldCharType="end"/>
      </w:r>
    </w:p>
    <w:p>
      <w:pPr>
        <w:pStyle w:val="Style17"/>
        <w:widowControl w:val="0"/>
        <w:keepNext w:val="0"/>
        <w:keepLines w:val="0"/>
        <w:shd w:val="clear" w:color="auto" w:fill="auto"/>
        <w:bidi w:val="0"/>
        <w:jc w:val="center"/>
        <w:spacing w:before="0" w:after="0" w:line="634" w:lineRule="exact"/>
        <w:ind w:left="340" w:right="0" w:firstLine="0"/>
      </w:pPr>
      <w:r>
        <w:rPr>
          <w:lang w:val="ru-RU" w:eastAsia="ru-RU" w:bidi="ru-RU"/>
          <w:sz w:val="24"/>
          <w:szCs w:val="24"/>
          <w:w w:val="100"/>
          <w:color w:val="000000"/>
          <w:position w:val="0"/>
        </w:rPr>
        <w:t>РЕШЕНИЕ № 374с/17</w:t>
      </w:r>
    </w:p>
    <w:p>
      <w:pPr>
        <w:pStyle w:val="Style17"/>
        <w:tabs>
          <w:tab w:leader="none" w:pos="8535" w:val="right"/>
          <w:tab w:leader="none" w:pos="9514" w:val="right"/>
        </w:tabs>
        <w:widowControl w:val="0"/>
        <w:keepNext w:val="0"/>
        <w:keepLines w:val="0"/>
        <w:shd w:val="clear" w:color="auto" w:fill="auto"/>
        <w:bidi w:val="0"/>
        <w:jc w:val="both"/>
        <w:spacing w:before="0" w:after="0" w:line="634" w:lineRule="exact"/>
        <w:ind w:left="20" w:right="0" w:firstLine="0"/>
      </w:pPr>
      <w:r>
        <w:rPr>
          <w:lang w:val="ru-RU" w:eastAsia="ru-RU" w:bidi="ru-RU"/>
          <w:sz w:val="24"/>
          <w:szCs w:val="24"/>
          <w:w w:val="100"/>
          <w:color w:val="000000"/>
          <w:position w:val="0"/>
        </w:rPr>
        <w:t>«07» ноября 2017 года</w:t>
        <w:tab/>
        <w:t>г.</w:t>
        <w:tab/>
        <w:t>Липецк</w:t>
      </w:r>
    </w:p>
    <w:p>
      <w:pPr>
        <w:pStyle w:val="Style17"/>
        <w:widowControl w:val="0"/>
        <w:keepNext w:val="0"/>
        <w:keepLines w:val="0"/>
        <w:shd w:val="clear" w:color="auto" w:fill="auto"/>
        <w:bidi w:val="0"/>
        <w:jc w:val="both"/>
        <w:spacing w:before="0" w:after="0" w:line="634" w:lineRule="exact"/>
        <w:ind w:left="20" w:right="0" w:firstLine="700"/>
      </w:pPr>
      <w:r>
        <w:rPr>
          <w:lang w:val="ru-RU" w:eastAsia="ru-RU" w:bidi="ru-RU"/>
          <w:sz w:val="24"/>
          <w:szCs w:val="24"/>
          <w:w w:val="100"/>
          <w:color w:val="000000"/>
          <w:position w:val="0"/>
        </w:rPr>
        <w:t>Резолютивная часть решения оглашена 07.11.2017.</w:t>
      </w:r>
    </w:p>
    <w:p>
      <w:pPr>
        <w:pStyle w:val="Style17"/>
        <w:widowControl w:val="0"/>
        <w:keepNext w:val="0"/>
        <w:keepLines w:val="0"/>
        <w:shd w:val="clear" w:color="auto" w:fill="auto"/>
        <w:bidi w:val="0"/>
        <w:jc w:val="both"/>
        <w:spacing w:before="0" w:after="316" w:line="240" w:lineRule="exact"/>
        <w:ind w:left="20" w:right="0" w:firstLine="700"/>
      </w:pPr>
      <w:r>
        <w:rPr>
          <w:lang w:val="ru-RU" w:eastAsia="ru-RU" w:bidi="ru-RU"/>
          <w:sz w:val="24"/>
          <w:szCs w:val="24"/>
          <w:w w:val="100"/>
          <w:color w:val="000000"/>
          <w:position w:val="0"/>
        </w:rPr>
        <w:t>Решение в полном объеме изготовлено 09.11.2017.</w:t>
      </w:r>
    </w:p>
    <w:p>
      <w:pPr>
        <w:pStyle w:val="Style17"/>
        <w:widowControl w:val="0"/>
        <w:keepNext w:val="0"/>
        <w:keepLines w:val="0"/>
        <w:shd w:val="clear" w:color="auto" w:fill="auto"/>
        <w:bidi w:val="0"/>
        <w:jc w:val="both"/>
        <w:spacing w:before="0" w:after="0" w:line="317" w:lineRule="exact"/>
        <w:ind w:left="20" w:right="340" w:firstLine="700"/>
      </w:pPr>
      <w:r>
        <w:rPr>
          <w:lang w:val="ru-RU" w:eastAsia="ru-RU" w:bidi="ru-RU"/>
          <w:sz w:val="24"/>
          <w:szCs w:val="24"/>
          <w:w w:val="100"/>
          <w:color w:val="000000"/>
          <w:position w:val="0"/>
        </w:rPr>
        <w:t>Комиссия Липецкого У 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7"/>
        <w:widowControl w:val="0"/>
        <w:keepNext w:val="0"/>
        <w:keepLines w:val="0"/>
        <w:shd w:val="clear" w:color="auto" w:fill="auto"/>
        <w:bidi w:val="0"/>
        <w:jc w:val="left"/>
        <w:spacing w:before="0" w:after="0" w:line="317" w:lineRule="exact"/>
        <w:ind w:left="20" w:right="340" w:firstLine="700"/>
      </w:pPr>
      <w:r>
        <w:rPr>
          <w:lang w:val="ru-RU" w:eastAsia="ru-RU" w:bidi="ru-RU"/>
          <w:sz w:val="24"/>
          <w:szCs w:val="24"/>
          <w:w w:val="100"/>
          <w:color w:val="000000"/>
          <w:position w:val="0"/>
        </w:rPr>
        <w:t>председатель Комиссии - И.В. Поткина - руководитель Управления; заместитель председателя Комиссии - Т.Н. Ролдугина - начальник отдела контроля закупок и торгов;</w:t>
      </w:r>
    </w:p>
    <w:p>
      <w:pPr>
        <w:pStyle w:val="Style17"/>
        <w:widowControl w:val="0"/>
        <w:keepNext w:val="0"/>
        <w:keepLines w:val="0"/>
        <w:shd w:val="clear" w:color="auto" w:fill="auto"/>
        <w:bidi w:val="0"/>
        <w:jc w:val="both"/>
        <w:spacing w:before="0" w:after="0" w:line="317" w:lineRule="exact"/>
        <w:ind w:left="20" w:right="340" w:firstLine="700"/>
      </w:pPr>
      <w:r>
        <w:rPr>
          <w:lang w:val="ru-RU" w:eastAsia="ru-RU" w:bidi="ru-RU"/>
          <w:sz w:val="24"/>
          <w:szCs w:val="24"/>
          <w:w w:val="100"/>
          <w:color w:val="000000"/>
          <w:position w:val="0"/>
        </w:rPr>
        <w:t>член Комиссии: Т.С. Рябкова - заместитель начальника отдела контроля закупок и торгов,</w:t>
      </w:r>
    </w:p>
    <w:p>
      <w:pPr>
        <w:pStyle w:val="Style17"/>
        <w:widowControl w:val="0"/>
        <w:keepNext w:val="0"/>
        <w:keepLines w:val="0"/>
        <w:shd w:val="clear" w:color="auto" w:fill="auto"/>
        <w:bidi w:val="0"/>
        <w:jc w:val="both"/>
        <w:spacing w:before="0" w:after="0" w:line="317" w:lineRule="exact"/>
        <w:ind w:left="20" w:right="340" w:firstLine="700"/>
      </w:pPr>
      <w:r>
        <w:rPr>
          <w:lang w:val="ru-RU" w:eastAsia="ru-RU" w:bidi="ru-RU"/>
          <w:sz w:val="24"/>
          <w:szCs w:val="24"/>
          <w:w w:val="100"/>
          <w:color w:val="000000"/>
          <w:position w:val="0"/>
        </w:rPr>
        <w:t>в присутствии представителей государственного бюджетного общеобразовательного учреждения Липецкой области "Специальная школа- интернат г.Грязи" - Брежневой Е.С. (доверенность от 07.11.2017), Федерякиной С.Н. (доверенность от 07.11.2017),</w:t>
      </w:r>
    </w:p>
    <w:p>
      <w:pPr>
        <w:pStyle w:val="Style17"/>
        <w:widowControl w:val="0"/>
        <w:keepNext w:val="0"/>
        <w:keepLines w:val="0"/>
        <w:shd w:val="clear" w:color="auto" w:fill="auto"/>
        <w:bidi w:val="0"/>
        <w:jc w:val="both"/>
        <w:spacing w:before="0" w:after="0" w:line="322" w:lineRule="exact"/>
        <w:ind w:left="20" w:right="340" w:firstLine="700"/>
      </w:pPr>
      <w:r>
        <w:rPr>
          <w:lang w:val="ru-RU" w:eastAsia="ru-RU" w:bidi="ru-RU"/>
          <w:sz w:val="24"/>
          <w:szCs w:val="24"/>
          <w:w w:val="100"/>
          <w:color w:val="000000"/>
          <w:position w:val="0"/>
        </w:rPr>
        <w:t>рассмотрев жалобу ООО «НовТехСтрой» на положения документации об электронном аукционе на выполнение работ по ремонту спального корпуса №</w:t>
      </w:r>
    </w:p>
    <w:p>
      <w:pPr>
        <w:pStyle w:val="Style15"/>
        <w:framePr w:h="370" w:wrap="around" w:vAnchor="text" w:hAnchor="margin" w:x="8620" w:y="620"/>
        <w:widowControl w:val="0"/>
        <w:keepNext w:val="0"/>
        <w:keepLines w:val="0"/>
        <w:shd w:val="clear" w:color="auto" w:fill="auto"/>
        <w:bidi w:val="0"/>
        <w:jc w:val="left"/>
        <w:spacing w:before="0" w:after="0" w:line="340" w:lineRule="exact"/>
        <w:ind w:left="100" w:right="0" w:firstLine="0"/>
      </w:pPr>
      <w:r>
        <w:rPr>
          <w:lang w:val="ru-RU" w:eastAsia="ru-RU" w:bidi="ru-RU"/>
          <w:w w:val="100"/>
          <w:spacing w:val="30"/>
          <w:color w:val="000000"/>
          <w:position w:val="0"/>
        </w:rPr>
        <w:t>047844</w:t>
      </w:r>
    </w:p>
    <w:p>
      <w:pPr>
        <w:pStyle w:val="Style17"/>
        <w:widowControl w:val="0"/>
        <w:keepNext w:val="0"/>
        <w:keepLines w:val="0"/>
        <w:shd w:val="clear" w:color="auto" w:fill="auto"/>
        <w:bidi w:val="0"/>
        <w:jc w:val="both"/>
        <w:spacing w:before="0" w:after="305" w:line="322" w:lineRule="exact"/>
        <w:ind w:left="20" w:right="0" w:firstLine="0"/>
      </w:pPr>
      <w:r>
        <w:rPr>
          <w:lang w:val="ru-RU" w:eastAsia="ru-RU" w:bidi="ru-RU"/>
          <w:sz w:val="24"/>
          <w:szCs w:val="24"/>
          <w:w w:val="100"/>
          <w:color w:val="000000"/>
          <w:position w:val="0"/>
        </w:rPr>
        <w:t>1 (реестровый номер 0346200006617000025) (далее- электронный аукцион),</w:t>
      </w:r>
    </w:p>
    <w:p>
      <w:pPr>
        <w:pStyle w:val="Style17"/>
        <w:widowControl w:val="0"/>
        <w:keepNext w:val="0"/>
        <w:keepLines w:val="0"/>
        <w:shd w:val="clear" w:color="auto" w:fill="auto"/>
        <w:bidi w:val="0"/>
        <w:jc w:val="both"/>
        <w:spacing w:before="0" w:after="0" w:line="240" w:lineRule="exact"/>
        <w:ind w:left="20" w:right="0" w:firstLine="0"/>
      </w:pPr>
      <w:r>
        <w:rPr>
          <w:rStyle w:val="CharStyle19"/>
        </w:rPr>
        <w:t>УСТАНОВИЛА:</w:t>
      </w:r>
      <w:r>
        <w:br w:type="page"/>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адрес Липецкого УФАС России 02.11.2017 поступила жалоба ООО «НовТехСтрой» на положения документации об электронном аукционе (заказчик - государственное бюджетное общеобразовательное учреждение Липецкой области "Специальная школа-интернат г.Грязи").</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Жалоба и сведения о времени и месте ее рассмотрения размещены Липецким УФАС России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в разделе «жалобы».</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ООО «НовТехСтрой», извещенное о времени и месте рассмотрения жалобы надлежащим образом, не направило своих представителей для участия в рассмотрении жалобы.</w:t>
      </w:r>
    </w:p>
    <w:p>
      <w:pPr>
        <w:pStyle w:val="Style17"/>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На заседании комиссии велась аудиозапись.</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жалобе ООО «НовТехСтрой» указано, что документация об электронном аукционе составлена со следующими нарушениями Закона о контрактной системе:</w:t>
      </w:r>
    </w:p>
    <w:p>
      <w:pPr>
        <w:pStyle w:val="Style17"/>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в п. 6.2.2.1 проекта контракта заказчиком установлена ответственность за неисполнение обязательств подрядчика, что не соответствует п. 4 Правил, утвержденных постановлением Правительства РФ № 1042;</w:t>
      </w:r>
    </w:p>
    <w:p>
      <w:pPr>
        <w:pStyle w:val="Style17"/>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заказчик необоснованно сократил срок подачи заявок путем установления срока окончания подачи заявок на выходной день.</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Представители заказчика не согласны с жалобой, представили письменные возражения на жалобу и пояснили, что нарушений Закона о контрактной системе при проведении закупки допущено не было.</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Рассмотрев жалобу и приложенные к ней материалы, а также другие документы (копии), представленные сторонами, заслушав мнение представителей заказчика, проведя внеплановую проверку, Комиссия Липецкого УФАС России установила следующее:</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Документация об электронном аукционе и извещение о проведении электронного аукциона размещены заказчиком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w:t>
      </w:r>
    </w:p>
    <w:p>
      <w:pPr>
        <w:pStyle w:val="Style17"/>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Начальная (максимальная) цена контракта составляет 8 900 000,00 руб.</w:t>
      </w:r>
    </w:p>
    <w:p>
      <w:pPr>
        <w:pStyle w:val="Style17"/>
        <w:numPr>
          <w:ilvl w:val="0"/>
          <w:numId w:val="3"/>
        </w:numPr>
        <w:tabs>
          <w:tab w:leader="none" w:pos="1100" w:val="lef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Рассмотрев довод жалобы о том, что в проекте контракта не установлена ответственность за неисполнение обязательств подрядчика в соответствии с п. 4 Правил, утвержденных постановлением Правительства РФ № 1042, Комиссия признает его необоснованным в связи со следующим.</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разделе 6 проекта контракта содержатся положения об ответственности сторон за неисполнение или ненадлежащее исполнение обязательств, предусмотренных контрактом.</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Согласно ч. 5, 6, 7, 8 ст. 34 Закона о контрактной системе размеры штрафов и пеней устанавливаются контрактом в виде фиксированной суммы,</w:t>
      </w:r>
    </w:p>
    <w:p>
      <w:pPr>
        <w:pStyle w:val="Style20"/>
        <w:widowControl w:val="0"/>
        <w:keepNext w:val="0"/>
        <w:keepLines w:val="0"/>
        <w:shd w:val="clear" w:color="auto" w:fill="auto"/>
        <w:bidi w:val="0"/>
        <w:spacing w:before="0" w:after="0" w:line="140" w:lineRule="exact"/>
        <w:ind w:left="0" w:right="0" w:firstLine="0"/>
      </w:pPr>
      <w:r>
        <w:rPr>
          <w:lang w:val="ru-RU" w:eastAsia="ru-RU" w:bidi="ru-RU"/>
          <w:w w:val="100"/>
          <w:spacing w:val="0"/>
          <w:color w:val="000000"/>
          <w:position w:val="0"/>
        </w:rPr>
        <w:t>л</w:t>
      </w:r>
    </w:p>
    <w:p>
      <w:pPr>
        <w:pStyle w:val="Style22"/>
        <w:widowControl w:val="0"/>
        <w:keepNext w:val="0"/>
        <w:keepLines w:val="0"/>
        <w:shd w:val="clear" w:color="auto" w:fill="auto"/>
        <w:bidi w:val="0"/>
        <w:spacing w:before="0" w:after="90" w:line="170" w:lineRule="exact"/>
        <w:ind w:left="0" w:right="0" w:firstLine="0"/>
      </w:pPr>
      <w:r>
        <w:rPr>
          <w:rFonts w:ascii="Courier New" w:eastAsia="Courier New" w:hAnsi="Courier New" w:cs="Courier New"/>
          <w:w w:val="100"/>
          <w:spacing w:val="0"/>
          <w:color w:val="000000"/>
          <w:position w:val="0"/>
        </w:rPr>
        <w:t>J</w:t>
      </w:r>
    </w:p>
    <w:p>
      <w:pPr>
        <w:pStyle w:val="Style17"/>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color w:val="000000"/>
          <w:position w:val="0"/>
        </w:rPr>
        <w:t>определенной в порядке, установленном Правительством Российской Федерации.</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Постановлением Правительства Российской Федерации от 30.08.2017 № 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Правила).</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Как следует из извещения о проведении закупки и документации об электронном аукционе заказчик осуществляет проведение электронного аукциона для субъектов малого предпринимательства, социально ориентированных некоммерческих организаций.</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Пунктом 4 Правил установлено, что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17"/>
        <w:tabs>
          <w:tab w:leader="none" w:pos="4863" w:val="left"/>
          <w:tab w:leader="none" w:pos="5718" w:val="left"/>
          <w:tab w:leader="none" w:pos="6006" w:val="left"/>
          <w:tab w:leader="none" w:pos="7028" w:val="left"/>
          <w:tab w:leader="none" w:pos="7729" w:val="left"/>
          <w:tab w:leader="none" w:pos="9643" w:val="right"/>
        </w:tabs>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а) 3 процента цены контракта</w:t>
        <w:tab/>
        <w:t>(этапа)</w:t>
        <w:tab/>
        <w:t>в</w:t>
        <w:tab/>
        <w:t>случае,</w:t>
        <w:tab/>
        <w:t>если</w:t>
        <w:tab/>
        <w:t>цена</w:t>
        <w:tab/>
        <w:t>контракта</w:t>
      </w:r>
    </w:p>
    <w:p>
      <w:pPr>
        <w:pStyle w:val="Style17"/>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color w:val="000000"/>
          <w:position w:val="0"/>
        </w:rPr>
        <w:t>(этапа) не превышает 3 млн. рублей;</w:t>
      </w:r>
    </w:p>
    <w:p>
      <w:pPr>
        <w:pStyle w:val="Style17"/>
        <w:tabs>
          <w:tab w:leader="none" w:pos="4863" w:val="left"/>
          <w:tab w:leader="none" w:pos="5732" w:val="left"/>
          <w:tab w:leader="none" w:pos="6015" w:val="left"/>
          <w:tab w:leader="none" w:pos="7038" w:val="left"/>
          <w:tab w:leader="none" w:pos="7729" w:val="left"/>
          <w:tab w:leader="none" w:pos="9643" w:val="right"/>
        </w:tabs>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б) 2 процента цены контракта</w:t>
        <w:tab/>
        <w:t>(этапа)</w:t>
        <w:tab/>
        <w:t>в</w:t>
        <w:tab/>
        <w:t>случае,</w:t>
        <w:tab/>
        <w:t>если</w:t>
        <w:tab/>
        <w:t>цена</w:t>
        <w:tab/>
        <w:t>контракта</w:t>
      </w:r>
    </w:p>
    <w:p>
      <w:pPr>
        <w:pStyle w:val="Style17"/>
        <w:tabs>
          <w:tab w:leader="none" w:pos="4863" w:val="left"/>
        </w:tabs>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color w:val="000000"/>
          <w:position w:val="0"/>
        </w:rPr>
        <w:t>(этапа) составляет от 3 млн. рублей до</w:t>
        <w:tab/>
        <w:t>10 млн. рублей (включительно);</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Комиссией Липецкого УФАС России установлено, что в п. 6.2.2.2 проекта контракта содержится требование, установленное п. 4 Правил.</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2. Довод жалобы о сокращении заказчиком срока подачи заявок путем установления срока окончания подачи заявок на выходной день признается обоснованным на основании следующего.</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25.09.2017 заказчиком размещено извещение о проведении электронного аукциона.</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Согласно ч. 6 ст. 63 Закона о контрактной системе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Изменение объекта закупки при проведении такого аукциона не допускается. В течение одного дня с даты принятия данного решения заказчик размещает в единой информационной системе указанные изменения. 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Как было установлено, заказчиком были внесены изменения в документацию об электронном аукционе и изменения в извещение о проведении электронного аукциона.</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При этом, срок окончания подачи заявок согласно извещению о проведении закупки установлен до 08:10 час. 06.11.2017.</w:t>
      </w:r>
    </w:p>
    <w:p>
      <w:pPr>
        <w:pStyle w:val="Style17"/>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Согласно производственному календарю, 06.11.2017 является нерабочим</w:t>
      </w:r>
    </w:p>
    <w:p>
      <w:pPr>
        <w:pStyle w:val="Style17"/>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color w:val="000000"/>
          <w:position w:val="0"/>
        </w:rPr>
        <w:t>днем.</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Положениями ч. 1 ст. 2 Закона о контрактной системе предусмотрено, что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в том числе на положениях Гражданского кодекса Российской Федерации (далее - ГК РФ).</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Статьей 193 ГК РФ установлено, что если последний день срока приходится на нерабочий день, то днем окончания срока считается ближайший следующий за ним рабочий день.</w:t>
      </w:r>
    </w:p>
    <w:p>
      <w:pPr>
        <w:pStyle w:val="Style17"/>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Ближайшим рабочим днем в данном случае является 07.11.2017.</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Указанные выше изменения были размещены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p>
    <w:p>
      <w:pPr>
        <w:pStyle w:val="Style17"/>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color w:val="000000"/>
          <w:position w:val="0"/>
        </w:rPr>
        <w:t>20.10.2017.</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Во исполнение в совокупности норм Закона о контрактной системе, а также ГК РФ надлежащий минимальный срок окончания подачи заявок должен был быть 07.11.2017.</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Таким образом, в действиях заказчика установлено нарушение ч. 6 ст. 63 Закона о контрактной системе.</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Вместе с тем, как было указано ранее жалоба заявителя поступила в Липецкое УФАС России 02.11.2017 (13:05 час.). Таким образом, 02.11.2017 и</w:t>
      </w:r>
    </w:p>
    <w:p>
      <w:pPr>
        <w:pStyle w:val="Style17"/>
        <w:numPr>
          <w:ilvl w:val="0"/>
          <w:numId w:val="5"/>
        </w:numPr>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color w:val="000000"/>
          <w:position w:val="0"/>
        </w:rPr>
        <w:t xml:space="preserve"> которые являлись рабочими днями, у заявителя имелась возможность подать заявку как минимум в эти дни.</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При таких обстоятельствах, материалами рассмотрения жалобы не подтверждено, что действия заказчика по установлению срока окончания подачи заявок на нерабочий день нарушают права и законные интересы заявителя.</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Более того, Комиссией Липецкого УФАС России установлено, что выявленное нарушение ч. 6 ст. 63 Закона о контрактной системе не может повлиять на результат электронного аукциона, поскольку общий срок подачи заявок составил пятнадцать дней с учетом выходных и праздничного дней, а заявки подаются на электронной площадке, которая обеспечивает возможность подачи заявок круглосуточно, в том числе в выходные и праздничные дни.</w:t>
      </w:r>
    </w:p>
    <w:p>
      <w:pPr>
        <w:pStyle w:val="Style17"/>
        <w:widowControl w:val="0"/>
        <w:keepNext w:val="0"/>
        <w:keepLines w:val="0"/>
        <w:shd w:val="clear" w:color="auto" w:fill="auto"/>
        <w:bidi w:val="0"/>
        <w:jc w:val="both"/>
        <w:spacing w:before="0" w:after="0" w:line="326" w:lineRule="exact"/>
        <w:ind w:left="20" w:right="20" w:firstLine="700"/>
      </w:pPr>
      <w:r>
        <w:rPr>
          <w:lang w:val="ru-RU" w:eastAsia="ru-RU" w:bidi="ru-RU"/>
          <w:sz w:val="24"/>
          <w:szCs w:val="24"/>
          <w:w w:val="100"/>
          <w:color w:val="000000"/>
          <w:position w:val="0"/>
        </w:rPr>
        <w:t>При проведении внеплановой проверки осуществления закупки в соответствии с требованиями ст. 99 Закона о контрактной системе, в действиях заказчика установлено нарушение п. 2 ч. 1 ст. 64 Закона о контрактной системе и в действиях единой комиссии нарушение ч. 5 ст. 67 Закона о контрактной системе, которые заключаются в следующем.</w:t>
      </w:r>
    </w:p>
    <w:p>
      <w:pPr>
        <w:pStyle w:val="Style17"/>
        <w:numPr>
          <w:ilvl w:val="0"/>
          <w:numId w:val="7"/>
        </w:numPr>
        <w:widowControl w:val="0"/>
        <w:keepNext w:val="0"/>
        <w:keepLines w:val="0"/>
        <w:shd w:val="clear" w:color="auto" w:fill="auto"/>
        <w:bidi w:val="0"/>
        <w:jc w:val="both"/>
        <w:spacing w:before="0" w:after="0" w:line="346" w:lineRule="exact"/>
        <w:ind w:left="20" w:right="20" w:firstLine="700"/>
      </w:pPr>
      <w:r>
        <w:rPr>
          <w:lang w:val="ru-RU" w:eastAsia="ru-RU" w:bidi="ru-RU"/>
          <w:sz w:val="24"/>
          <w:szCs w:val="24"/>
          <w:w w:val="100"/>
          <w:color w:val="000000"/>
          <w:position w:val="0"/>
        </w:rPr>
        <w:t xml:space="preserve"> Описание объекта закупки содержится в техническом задании (приложение № 2 к документации).</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Наименование, требования к функциональным, техническим и качественным характеристикам товара (материалам), предлагаемого для использования при выполнении работ, указаны в техническом задании (Приложение 2 Раздел III) к документации об электронном аукционе.</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Так, по позиции № 2 «Дверной блок» установлено следующее: механическая прочность - не менее Мд1, звукоизоляция- не менее 31, теплоизоляция- не менее Т1, воздухопроницаемость - не менее В2, тип - ДН, ДВ, предел водонепроницаемости - не менее В.</w:t>
      </w:r>
    </w:p>
    <w:p>
      <w:pPr>
        <w:pStyle w:val="Style17"/>
        <w:tabs>
          <w:tab w:leader="none" w:pos="9644" w:val="righ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Согласно инструкции по заполнению первой части заявки, участник электронного аукциона должен указать следующие сведения о товаре, предлагаемом для использования при выполнении работ:</w:t>
        <w:tab/>
        <w:t>конкретные</w:t>
      </w:r>
    </w:p>
    <w:p>
      <w:pPr>
        <w:pStyle w:val="Style17"/>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color w:val="000000"/>
          <w:position w:val="0"/>
        </w:rPr>
        <w:t>показатели используемого товара, соответствующие значениям, установленным в приложении №2 (Раздел III) «Техническое задание» «Таблица». Параметры и характеристики товара, предлагаемого для использования при выполнении работ должны иметь конкретные показатели, в том числе без сопровождения их словами «не менее», «не более», «или», «от», «до» (за исключением случаев, когда такие параметры и характеристики не могут быть описаны точными значениями).</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Комиссией установлено, что каждому типу дверных блоков, в частности, в соответствии с ГОСТом 475-2016 "Блоки дверные деревянные и комбинированные. Общие технические условия", присущи свои характеристики, в том числе, установленные заказчиком.</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Вместе с тем, требования к содержанию заявки и инструкция по ее заполнению, исключают возможность указания в заявке различных характеристик, присущих разным типам дверных блоков, например, звукоизоляция- 31 для ДВ и 32 для ДН.</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При этом, инструкция по заполнению первой части заявки не содержит информации, каким образом участникам закупки необходимо указывать сведения о типе дверного блока - оба или один из указанных заказчиком.</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Таким образом, поскольку инструкция по заполнению заявки не содержит правил описания участниками в своих заявках значений типа дверного блока - ДН и ДВ либо только один из них, то данная инструкция не является надлежащей, что, в свою очередь, является нарушением п. 2 ч. 1 ст. 64 Закона о контрактной системе.</w:t>
      </w:r>
    </w:p>
    <w:p>
      <w:pPr>
        <w:pStyle w:val="Style17"/>
        <w:numPr>
          <w:ilvl w:val="0"/>
          <w:numId w:val="7"/>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Более того, Комиссией установлено, что отсутствие в рассматриваемом случае надлежащей инструкции, содержащей положения о правилах описания значений такого показателя, как тип дверного блока, привело к необоснованному отказу в допуске к участию в электронном аукционе.</w:t>
      </w:r>
    </w:p>
    <w:p>
      <w:pPr>
        <w:pStyle w:val="Style17"/>
        <w:widowControl w:val="0"/>
        <w:keepNext w:val="0"/>
        <w:keepLines w:val="0"/>
        <w:shd w:val="clear" w:color="auto" w:fill="auto"/>
        <w:bidi w:val="0"/>
        <w:jc w:val="both"/>
        <w:spacing w:before="0" w:after="60" w:line="317" w:lineRule="exact"/>
        <w:ind w:left="20" w:right="0" w:firstLine="700"/>
      </w:pPr>
      <w:r>
        <w:rPr>
          <w:lang w:val="ru-RU" w:eastAsia="ru-RU" w:bidi="ru-RU"/>
          <w:sz w:val="24"/>
          <w:szCs w:val="24"/>
          <w:w w:val="100"/>
          <w:color w:val="000000"/>
          <w:position w:val="0"/>
        </w:rPr>
        <w:t>Так, 06.11.2017 единой комиссией осуществлялось рассмотрение первых частей заявок.</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Согласно протоколу рассмотрения заявок участнику, подавшему заявку с порядковым номером 1, отказано в допуске к участию в электронном аукционе по причине:</w:t>
      </w:r>
    </w:p>
    <w:p>
      <w:pPr>
        <w:pStyle w:val="Style17"/>
        <w:tabs>
          <w:tab w:leader="none" w:pos="9638" w:val="right"/>
        </w:tabs>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«Отказать в допуске на основании</w:t>
        <w:tab/>
        <w:t>несоответствия информации,</w:t>
      </w:r>
    </w:p>
    <w:p>
      <w:pPr>
        <w:pStyle w:val="Style17"/>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color w:val="000000"/>
          <w:position w:val="0"/>
        </w:rPr>
        <w:t xml:space="preserve">предусмотренной частью 3 статьи 66 Федерального закона №44-ФЗ, требованиям документации о таком аукционе: участник указал в пункте 2 своей заявки "Предложение по материалам" только один тип дверного блока: "ДВ". А по требованиям Заказчика согласно пункта 2 части III. Технического задания «Требования к применяемым материалам» Заказчик </w:t>
      </w:r>
      <w:r>
        <w:rPr>
          <w:rStyle w:val="CharStyle24"/>
        </w:rPr>
        <w:t>перечислил</w:t>
      </w:r>
      <w:r>
        <w:rPr>
          <w:lang w:val="ru-RU" w:eastAsia="ru-RU" w:bidi="ru-RU"/>
          <w:sz w:val="24"/>
          <w:szCs w:val="24"/>
          <w:w w:val="100"/>
          <w:color w:val="000000"/>
          <w:position w:val="0"/>
        </w:rPr>
        <w:t xml:space="preserve"> два необходимых типа дверей: ДН, ДВ. Согласно пункту 74 Технического задания участник понимал, что речь идет о двух типах дверей - так как в объемах и перечне работ указал установку блоков "в наружных и внутренних дверных проёмах".».</w:t>
      </w:r>
    </w:p>
    <w:p>
      <w:pPr>
        <w:pStyle w:val="Style17"/>
        <w:tabs>
          <w:tab w:leader="none" w:pos="2238" w:val="lef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Частью 1 ст. 67 Закона о контрактной системе установлено, что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w:t>
        <w:tab/>
        <w:t>Федерального закона, на соответствие требованиям,</w:t>
      </w:r>
    </w:p>
    <w:p>
      <w:pPr>
        <w:pStyle w:val="Style17"/>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color w:val="000000"/>
          <w:position w:val="0"/>
        </w:rPr>
        <w:t>установленным документацией о таком аукционе в отношении закупаемых товаров, работ, услуг.</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Согласно ч. 4 ст. 67 Закона о контрактной системе участник электронного аукциона не допускается к участию в нем в случае:</w:t>
      </w:r>
    </w:p>
    <w:p>
      <w:pPr>
        <w:pStyle w:val="Style17"/>
        <w:numPr>
          <w:ilvl w:val="0"/>
          <w:numId w:val="9"/>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7"/>
        <w:numPr>
          <w:ilvl w:val="0"/>
          <w:numId w:val="9"/>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Таким образом, при отсутствии надлежащей инструкции, содержащей положения о правилах описания значений типа дверного блока, вывод единой комиссии о непредставлении участником, подавшим заявку с порядковым номером 1, информации, предусмотренной документацией, не является основанным на положениях документации.</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Следовательно, отказ в допуске к участию в электронном аукционе участнику, подавшему заявку с порядковым номером 1, единой комиссии совершен в нарушение ч. 5 ст. 67 Закона о контрактной системе.</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Установленные нарушения Закона о контрактной системе содержат признаки административного правонарушения.</w:t>
      </w:r>
    </w:p>
    <w:p>
      <w:pPr>
        <w:pStyle w:val="Style17"/>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При рассмотрении вопроса о выдаче предписания Комиссией Липецкого УФАС России учтено, что на положения документации об электронном аукционе 30.10.2017 поступила жалоба ООО «Артель».</w:t>
      </w:r>
    </w:p>
    <w:p>
      <w:pPr>
        <w:pStyle w:val="Style17"/>
        <w:widowControl w:val="0"/>
        <w:keepNext w:val="0"/>
        <w:keepLines w:val="0"/>
        <w:shd w:val="clear" w:color="auto" w:fill="auto"/>
        <w:bidi w:val="0"/>
        <w:jc w:val="both"/>
        <w:spacing w:before="0" w:after="0" w:line="307" w:lineRule="exact"/>
        <w:ind w:left="20" w:right="20" w:firstLine="700"/>
      </w:pPr>
      <w:r>
        <w:rPr>
          <w:lang w:val="ru-RU" w:eastAsia="ru-RU" w:bidi="ru-RU"/>
          <w:sz w:val="24"/>
          <w:szCs w:val="24"/>
          <w:w w:val="100"/>
          <w:color w:val="000000"/>
          <w:position w:val="0"/>
        </w:rPr>
        <w:t>При этом, первой поступила жалоба ООО «Артель», по результатам рассмотрения которой и проведения внеплановой проверки закупки, принято решение от 07.11.2017 № 371с/17 и выдано предписание № 371 с/17 об устранении выявленного нарушения.</w:t>
      </w:r>
    </w:p>
    <w:p>
      <w:pPr>
        <w:pStyle w:val="Style17"/>
        <w:widowControl w:val="0"/>
        <w:keepNext w:val="0"/>
        <w:keepLines w:val="0"/>
        <w:shd w:val="clear" w:color="auto" w:fill="auto"/>
        <w:bidi w:val="0"/>
        <w:jc w:val="both"/>
        <w:spacing w:before="0" w:after="309" w:line="326" w:lineRule="exact"/>
        <w:ind w:left="20" w:right="20" w:firstLine="700"/>
      </w:pPr>
      <w:r>
        <w:rPr>
          <w:lang w:val="ru-RU" w:eastAsia="ru-RU" w:bidi="ru-RU"/>
          <w:sz w:val="24"/>
          <w:szCs w:val="24"/>
          <w:w w:val="100"/>
          <w:color w:val="000000"/>
          <w:position w:val="0"/>
        </w:rPr>
        <w:t>Руководствуясь ст. 99, ч. 8 ст.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Комиссия</w:t>
      </w:r>
    </w:p>
    <w:p>
      <w:pPr>
        <w:pStyle w:val="Style17"/>
        <w:widowControl w:val="0"/>
        <w:keepNext w:val="0"/>
        <w:keepLines w:val="0"/>
        <w:shd w:val="clear" w:color="auto" w:fill="auto"/>
        <w:bidi w:val="0"/>
        <w:jc w:val="center"/>
        <w:spacing w:before="0" w:after="316" w:line="240" w:lineRule="exact"/>
        <w:ind w:left="0" w:right="0" w:firstLine="0"/>
      </w:pPr>
      <w:r>
        <w:rPr>
          <w:rStyle w:val="CharStyle19"/>
        </w:rPr>
        <w:t>РЕШИЛА:</w:t>
      </w:r>
    </w:p>
    <w:p>
      <w:pPr>
        <w:pStyle w:val="Style17"/>
        <w:numPr>
          <w:ilvl w:val="0"/>
          <w:numId w:val="1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Признать жалобу ООО «НовТехСтрой» на положения документации об электронном аукционе на выполнение работ по ремонту спального корпуса № 1 (реестровый номер 0346200006617000025) обоснованной в части довода о сокращении заказчиком срока подачи заявок путем его установления на выходной день.</w:t>
      </w:r>
    </w:p>
    <w:p>
      <w:pPr>
        <w:pStyle w:val="Style17"/>
        <w:numPr>
          <w:ilvl w:val="0"/>
          <w:numId w:val="1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Признать в действиях заказчика нарушения п. 2 ч. 1 ст. 64, ч. 6 ст. 63 Закона о контрактной системе и нарушение ч. 5 ст. 67 Закона о контрактной системе в действиях единой комиссии.</w:t>
      </w:r>
    </w:p>
    <w:p>
      <w:pPr>
        <w:pStyle w:val="Style17"/>
        <w:numPr>
          <w:ilvl w:val="0"/>
          <w:numId w:val="1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Предписание об устранении выявленного нарушения не выдавать, поскольку оно выдано по итогам рассмотрения жалобы ООО «Артель» (№371с/17).</w:t>
      </w:r>
    </w:p>
    <w:p>
      <w:pPr>
        <w:pStyle w:val="Style17"/>
        <w:numPr>
          <w:ilvl w:val="0"/>
          <w:numId w:val="1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Передать материалы рассмотрения жалобы должностному лицу Липецкого УФАС России для рассмотрения вопроса о возбуждении дела об административном правонарушении.</w:t>
      </w:r>
    </w:p>
    <w:p>
      <w:pPr>
        <w:pStyle w:val="Style17"/>
        <w:widowControl w:val="0"/>
        <w:keepNext w:val="0"/>
        <w:keepLines w:val="0"/>
        <w:shd w:val="clear" w:color="auto" w:fill="auto"/>
        <w:bidi w:val="0"/>
        <w:jc w:val="both"/>
        <w:spacing w:before="0" w:after="617" w:line="336" w:lineRule="exact"/>
        <w:ind w:left="20" w:right="20" w:firstLine="700"/>
      </w:pPr>
      <w:r>
        <w:rPr>
          <w:lang w:val="ru-RU" w:eastAsia="ru-RU" w:bidi="ru-RU"/>
          <w:sz w:val="24"/>
          <w:szCs w:val="24"/>
          <w:w w:val="100"/>
          <w:color w:val="000000"/>
          <w:position w:val="0"/>
        </w:rPr>
        <w:t>Решение может быть обжаловано в арбитражный суд в течение трех месяцев со дня его вынесения.</w:t>
      </w:r>
    </w:p>
    <w:p>
      <w:pPr>
        <w:pStyle w:val="Style25"/>
        <w:widowControl w:val="0"/>
        <w:keepNext w:val="0"/>
        <w:keepLines w:val="0"/>
        <w:shd w:val="clear" w:color="auto" w:fill="auto"/>
        <w:bidi w:val="0"/>
        <w:jc w:val="left"/>
        <w:spacing w:before="0" w:after="367" w:line="240" w:lineRule="exact"/>
        <w:ind w:left="20" w:right="0" w:firstLine="0"/>
      </w:pPr>
      <w:r>
        <w:rPr>
          <w:lang w:val="ru-RU" w:eastAsia="ru-RU" w:bidi="ru-RU"/>
          <w:sz w:val="24"/>
          <w:szCs w:val="24"/>
          <w:w w:val="100"/>
          <w:spacing w:val="0"/>
          <w:color w:val="000000"/>
          <w:position w:val="0"/>
        </w:rPr>
        <w:t>Председатель Комиссии:</w:t>
      </w:r>
    </w:p>
    <w:p>
      <w:pPr>
        <w:pStyle w:val="Style17"/>
        <w:widowControl w:val="0"/>
        <w:keepNext w:val="0"/>
        <w:keepLines w:val="0"/>
        <w:shd w:val="clear" w:color="auto" w:fill="auto"/>
        <w:bidi w:val="0"/>
        <w:jc w:val="left"/>
        <w:spacing w:before="0" w:after="377" w:line="240" w:lineRule="exact"/>
        <w:ind w:left="20" w:right="0" w:firstLine="0"/>
      </w:pPr>
      <w:r>
        <w:rPr>
          <w:lang w:val="ru-RU" w:eastAsia="ru-RU" w:bidi="ru-RU"/>
          <w:sz w:val="24"/>
          <w:szCs w:val="24"/>
          <w:w w:val="100"/>
          <w:color w:val="000000"/>
          <w:position w:val="0"/>
        </w:rPr>
        <w:t>Заместитель председателя Комиссии:</w:t>
      </w:r>
    </w:p>
    <w:p>
      <w:pPr>
        <w:pStyle w:val="Style1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color w:val="000000"/>
          <w:position w:val="0"/>
        </w:rPr>
        <w:t>Член Комиссии</w:t>
      </w:r>
    </w:p>
    <w:sectPr>
      <w:footnotePr>
        <w:pos w:val="pageBottom"/>
        <w:numFmt w:val="decimal"/>
        <w:numRestart w:val="continuous"/>
      </w:footnotePr>
      <w:type w:val="continuous"/>
      <w:pgSz w:w="11906" w:h="16838"/>
      <w:pgMar w:top="695" w:left="1686" w:right="222" w:bottom="99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4">
    <w:multiLevelType w:val="multilevel"/>
    <w:lvl w:ilvl="0">
      <w:start w:val="2017"/>
      <w:numFmt w:val="decimal"/>
      <w:lvlText w:val="03.11.%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bCs/>
      <w:i w:val="0"/>
      <w:iCs w:val="0"/>
      <w:u w:val="none"/>
      <w:strike w:val="0"/>
      <w:smallCaps w:val="0"/>
      <w:sz w:val="16"/>
      <w:szCs w:val="16"/>
      <w:rFonts w:ascii="Times New Roman" w:eastAsia="Times New Roman" w:hAnsi="Times New Roman" w:cs="Times New Roman"/>
      <w:spacing w:val="9"/>
    </w:rPr>
  </w:style>
  <w:style w:type="character" w:customStyle="1" w:styleId="CharStyle5">
    <w:name w:val="Основной текст (2) + Не полужирный,Интервал 0 pt Exact"/>
    <w:basedOn w:val="CharStyle4"/>
    <w:rPr>
      <w:lang w:val="ru-RU" w:eastAsia="ru-RU" w:bidi="ru-RU"/>
      <w:b/>
      <w:bCs/>
      <w:w w:val="100"/>
      <w:spacing w:val="5"/>
      <w:color w:val="000000"/>
      <w:position w:val="0"/>
    </w:rPr>
  </w:style>
  <w:style w:type="character" w:customStyle="1" w:styleId="CharStyle7">
    <w:name w:val="Основной текст (3) Exact"/>
    <w:basedOn w:val="DefaultParagraphFont"/>
    <w:link w:val="Style6"/>
    <w:rPr>
      <w:b w:val="0"/>
      <w:bCs w:val="0"/>
      <w:i w:val="0"/>
      <w:iCs w:val="0"/>
      <w:u w:val="none"/>
      <w:strike w:val="0"/>
      <w:smallCaps w:val="0"/>
      <w:sz w:val="20"/>
      <w:szCs w:val="20"/>
      <w:rFonts w:ascii="Times New Roman" w:eastAsia="Times New Roman" w:hAnsi="Times New Roman" w:cs="Times New Roman"/>
      <w:spacing w:val="11"/>
    </w:rPr>
  </w:style>
  <w:style w:type="character" w:customStyle="1" w:styleId="CharStyle9">
    <w:name w:val="Основной текст (4) Exact"/>
    <w:basedOn w:val="DefaultParagraphFont"/>
    <w:link w:val="Style8"/>
    <w:rPr>
      <w:b w:val="0"/>
      <w:bCs w:val="0"/>
      <w:i w:val="0"/>
      <w:iCs w:val="0"/>
      <w:u w:val="none"/>
      <w:strike w:val="0"/>
      <w:smallCaps w:val="0"/>
      <w:sz w:val="16"/>
      <w:szCs w:val="16"/>
      <w:rFonts w:ascii="Times New Roman" w:eastAsia="Times New Roman" w:hAnsi="Times New Roman" w:cs="Times New Roman"/>
      <w:spacing w:val="5"/>
    </w:rPr>
  </w:style>
  <w:style w:type="character" w:customStyle="1" w:styleId="CharStyle11">
    <w:name w:val="Основной текст (5) Exact"/>
    <w:basedOn w:val="DefaultParagraphFont"/>
    <w:link w:val="Style10"/>
    <w:rPr>
      <w:lang w:val="en-US" w:eastAsia="en-US" w:bidi="en-US"/>
      <w:b w:val="0"/>
      <w:bCs w:val="0"/>
      <w:i/>
      <w:iCs/>
      <w:u w:val="none"/>
      <w:strike w:val="0"/>
      <w:smallCaps w:val="0"/>
      <w:sz w:val="26"/>
      <w:szCs w:val="26"/>
      <w:rFonts w:ascii="Times New Roman" w:eastAsia="Times New Roman" w:hAnsi="Times New Roman" w:cs="Times New Roman"/>
      <w:spacing w:val="7"/>
    </w:rPr>
  </w:style>
  <w:style w:type="character" w:customStyle="1" w:styleId="CharStyle12">
    <w:name w:val="Основной текст (5) Exact"/>
    <w:basedOn w:val="CharStyle11"/>
    <w:rPr>
      <w:u w:val="single"/>
      <w:w w:val="100"/>
      <w:color w:val="000000"/>
      <w:position w:val="0"/>
    </w:rPr>
  </w:style>
  <w:style w:type="character" w:customStyle="1" w:styleId="CharStyle13">
    <w:name w:val="Основной текст (5) + Не курсив,Интервал 0 pt Exact"/>
    <w:basedOn w:val="CharStyle11"/>
    <w:rPr>
      <w:lang w:val="1024"/>
      <w:i/>
      <w:iCs/>
      <w:w w:val="100"/>
      <w:spacing w:val="0"/>
      <w:color w:val="000000"/>
      <w:position w:val="0"/>
    </w:rPr>
  </w:style>
  <w:style w:type="character" w:customStyle="1" w:styleId="CharStyle14">
    <w:name w:val="Основной текст (5) + 10 pt,Не курсив,Интервал 0 pt Exact"/>
    <w:basedOn w:val="CharStyle11"/>
    <w:rPr>
      <w:i/>
      <w:iCs/>
      <w:sz w:val="20"/>
      <w:szCs w:val="20"/>
      <w:w w:val="100"/>
      <w:spacing w:val="0"/>
      <w:color w:val="000000"/>
      <w:position w:val="0"/>
    </w:rPr>
  </w:style>
  <w:style w:type="character" w:customStyle="1" w:styleId="CharStyle16">
    <w:name w:val="Основной текст (6) Exact"/>
    <w:basedOn w:val="DefaultParagraphFont"/>
    <w:link w:val="Style15"/>
    <w:rPr>
      <w:b w:val="0"/>
      <w:bCs w:val="0"/>
      <w:i w:val="0"/>
      <w:iCs w:val="0"/>
      <w:u w:val="none"/>
      <w:strike w:val="0"/>
      <w:smallCaps w:val="0"/>
      <w:sz w:val="34"/>
      <w:szCs w:val="34"/>
      <w:rFonts w:ascii="Times New Roman" w:eastAsia="Times New Roman" w:hAnsi="Times New Roman" w:cs="Times New Roman"/>
      <w:spacing w:val="35"/>
    </w:rPr>
  </w:style>
  <w:style w:type="character" w:customStyle="1" w:styleId="CharStyle18">
    <w:name w:val="Основной текст_"/>
    <w:basedOn w:val="DefaultParagraphFont"/>
    <w:link w:val="Style17"/>
    <w:rPr>
      <w:b w:val="0"/>
      <w:bCs w:val="0"/>
      <w:i w:val="0"/>
      <w:iCs w:val="0"/>
      <w:u w:val="none"/>
      <w:strike w:val="0"/>
      <w:smallCaps w:val="0"/>
      <w:rFonts w:ascii="Times New Roman" w:eastAsia="Times New Roman" w:hAnsi="Times New Roman" w:cs="Times New Roman"/>
      <w:spacing w:val="10"/>
    </w:rPr>
  </w:style>
  <w:style w:type="character" w:customStyle="1" w:styleId="CharStyle19">
    <w:name w:val="Основной текст + Интервал 3 pt"/>
    <w:basedOn w:val="CharStyle18"/>
    <w:rPr>
      <w:lang w:val="ru-RU" w:eastAsia="ru-RU" w:bidi="ru-RU"/>
      <w:sz w:val="24"/>
      <w:szCs w:val="24"/>
      <w:w w:val="100"/>
      <w:spacing w:val="70"/>
      <w:color w:val="000000"/>
      <w:position w:val="0"/>
    </w:rPr>
  </w:style>
  <w:style w:type="character" w:customStyle="1" w:styleId="CharStyle21">
    <w:name w:val="Основной текст (7)_"/>
    <w:basedOn w:val="DefaultParagraphFont"/>
    <w:link w:val="Style20"/>
    <w:rPr>
      <w:b w:val="0"/>
      <w:bCs w:val="0"/>
      <w:i w:val="0"/>
      <w:iCs w:val="0"/>
      <w:u w:val="none"/>
      <w:strike w:val="0"/>
      <w:smallCaps w:val="0"/>
      <w:sz w:val="14"/>
      <w:szCs w:val="14"/>
      <w:rFonts w:ascii="Times New Roman" w:eastAsia="Times New Roman" w:hAnsi="Times New Roman" w:cs="Times New Roman"/>
    </w:rPr>
  </w:style>
  <w:style w:type="character" w:customStyle="1" w:styleId="CharStyle23">
    <w:name w:val="Основной текст (8)_"/>
    <w:basedOn w:val="DefaultParagraphFont"/>
    <w:link w:val="Style22"/>
    <w:rPr>
      <w:lang w:val="en-US" w:eastAsia="en-US" w:bidi="en-US"/>
      <w:b w:val="0"/>
      <w:bCs w:val="0"/>
      <w:i w:val="0"/>
      <w:iCs w:val="0"/>
      <w:u w:val="none"/>
      <w:strike w:val="0"/>
      <w:smallCaps w:val="0"/>
      <w:sz w:val="17"/>
      <w:szCs w:val="17"/>
    </w:rPr>
  </w:style>
  <w:style w:type="character" w:customStyle="1" w:styleId="CharStyle24">
    <w:name w:val="Основной текст + Курсив,Интервал 0 pt"/>
    <w:basedOn w:val="CharStyle18"/>
    <w:rPr>
      <w:lang w:val="ru-RU" w:eastAsia="ru-RU" w:bidi="ru-RU"/>
      <w:i/>
      <w:iCs/>
      <w:sz w:val="24"/>
      <w:szCs w:val="24"/>
      <w:w w:val="100"/>
      <w:spacing w:val="0"/>
      <w:color w:val="000000"/>
      <w:position w:val="0"/>
    </w:rPr>
  </w:style>
  <w:style w:type="character" w:customStyle="1" w:styleId="CharStyle26">
    <w:name w:val="Основной текст (9)_"/>
    <w:basedOn w:val="DefaultParagraphFont"/>
    <w:link w:val="Style25"/>
    <w:rPr>
      <w:b w:val="0"/>
      <w:bCs w:val="0"/>
      <w:i w:val="0"/>
      <w:iCs w:val="0"/>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line="230" w:lineRule="exact"/>
    </w:pPr>
    <w:rPr>
      <w:b/>
      <w:bCs/>
      <w:i w:val="0"/>
      <w:iCs w:val="0"/>
      <w:u w:val="none"/>
      <w:strike w:val="0"/>
      <w:smallCaps w:val="0"/>
      <w:sz w:val="16"/>
      <w:szCs w:val="16"/>
      <w:rFonts w:ascii="Times New Roman" w:eastAsia="Times New Roman" w:hAnsi="Times New Roman" w:cs="Times New Roman"/>
      <w:spacing w:val="9"/>
    </w:rPr>
  </w:style>
  <w:style w:type="paragraph" w:customStyle="1" w:styleId="Style6">
    <w:name w:val="Основной текст (3)"/>
    <w:basedOn w:val="Normal"/>
    <w:link w:val="CharStyle7"/>
    <w:pPr>
      <w:widowControl w:val="0"/>
      <w:shd w:val="clear" w:color="auto" w:fill="FFFFFF"/>
      <w:jc w:val="center"/>
      <w:spacing w:line="245" w:lineRule="exact"/>
    </w:pPr>
    <w:rPr>
      <w:b w:val="0"/>
      <w:bCs w:val="0"/>
      <w:i w:val="0"/>
      <w:iCs w:val="0"/>
      <w:u w:val="none"/>
      <w:strike w:val="0"/>
      <w:smallCaps w:val="0"/>
      <w:sz w:val="20"/>
      <w:szCs w:val="20"/>
      <w:rFonts w:ascii="Times New Roman" w:eastAsia="Times New Roman" w:hAnsi="Times New Roman" w:cs="Times New Roman"/>
      <w:spacing w:val="11"/>
    </w:rPr>
  </w:style>
  <w:style w:type="paragraph" w:customStyle="1" w:styleId="Style8">
    <w:name w:val="Основной текст (4)"/>
    <w:basedOn w:val="Normal"/>
    <w:link w:val="CharStyle9"/>
    <w:pPr>
      <w:widowControl w:val="0"/>
      <w:shd w:val="clear" w:color="auto" w:fill="FFFFFF"/>
      <w:jc w:val="center"/>
      <w:spacing w:line="206" w:lineRule="exact"/>
    </w:pPr>
    <w:rPr>
      <w:b w:val="0"/>
      <w:bCs w:val="0"/>
      <w:i w:val="0"/>
      <w:iCs w:val="0"/>
      <w:u w:val="none"/>
      <w:strike w:val="0"/>
      <w:smallCaps w:val="0"/>
      <w:sz w:val="16"/>
      <w:szCs w:val="16"/>
      <w:rFonts w:ascii="Times New Roman" w:eastAsia="Times New Roman" w:hAnsi="Times New Roman" w:cs="Times New Roman"/>
      <w:spacing w:val="5"/>
    </w:rPr>
  </w:style>
  <w:style w:type="paragraph" w:customStyle="1" w:styleId="Style10">
    <w:name w:val="Основной текст (5)"/>
    <w:basedOn w:val="Normal"/>
    <w:link w:val="CharStyle11"/>
    <w:pPr>
      <w:widowControl w:val="0"/>
      <w:shd w:val="clear" w:color="auto" w:fill="FFFFFF"/>
      <w:jc w:val="both"/>
      <w:spacing w:after="360" w:line="0" w:lineRule="exact"/>
    </w:pPr>
    <w:rPr>
      <w:lang w:val="en-US" w:eastAsia="en-US" w:bidi="en-US"/>
      <w:b w:val="0"/>
      <w:bCs w:val="0"/>
      <w:i/>
      <w:iCs/>
      <w:u w:val="none"/>
      <w:strike w:val="0"/>
      <w:smallCaps w:val="0"/>
      <w:sz w:val="26"/>
      <w:szCs w:val="26"/>
      <w:rFonts w:ascii="Times New Roman" w:eastAsia="Times New Roman" w:hAnsi="Times New Roman" w:cs="Times New Roman"/>
      <w:spacing w:val="7"/>
    </w:rPr>
  </w:style>
  <w:style w:type="paragraph" w:customStyle="1" w:styleId="Style15">
    <w:name w:val="Основной текст (6)"/>
    <w:basedOn w:val="Normal"/>
    <w:link w:val="CharStyle16"/>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35"/>
    </w:rPr>
  </w:style>
  <w:style w:type="paragraph" w:customStyle="1" w:styleId="Style17">
    <w:name w:val="Основной текст"/>
    <w:basedOn w:val="Normal"/>
    <w:link w:val="CharStyle18"/>
    <w:pPr>
      <w:widowControl w:val="0"/>
      <w:shd w:val="clear" w:color="auto" w:fill="FFFFFF"/>
      <w:spacing w:after="72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20">
    <w:name w:val="Основной текст (7)"/>
    <w:basedOn w:val="Normal"/>
    <w:link w:val="CharStyle21"/>
    <w:pPr>
      <w:widowControl w:val="0"/>
      <w:shd w:val="clear" w:color="auto" w:fill="FFFFFF"/>
      <w:jc w:val="center"/>
      <w:spacing w:line="0"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22">
    <w:name w:val="Основной текст (8)"/>
    <w:basedOn w:val="Normal"/>
    <w:link w:val="CharStyle23"/>
    <w:pPr>
      <w:widowControl w:val="0"/>
      <w:shd w:val="clear" w:color="auto" w:fill="FFFFFF"/>
      <w:jc w:val="center"/>
      <w:spacing w:after="180" w:line="0" w:lineRule="exact"/>
    </w:pPr>
    <w:rPr>
      <w:lang w:val="en-US" w:eastAsia="en-US" w:bidi="en-US"/>
      <w:b w:val="0"/>
      <w:bCs w:val="0"/>
      <w:i w:val="0"/>
      <w:iCs w:val="0"/>
      <w:u w:val="none"/>
      <w:strike w:val="0"/>
      <w:smallCaps w:val="0"/>
      <w:sz w:val="17"/>
      <w:szCs w:val="17"/>
    </w:rPr>
  </w:style>
  <w:style w:type="paragraph" w:customStyle="1" w:styleId="Style25">
    <w:name w:val="Основной текст (9)"/>
    <w:basedOn w:val="Normal"/>
    <w:link w:val="CharStyle26"/>
    <w:pPr>
      <w:widowControl w:val="0"/>
      <w:shd w:val="clear" w:color="auto" w:fill="FFFFFF"/>
      <w:spacing w:before="540" w:after="420" w:line="0"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