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42"/>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spacing w:before="0" w:after="204" w:line="260" w:lineRule="exact"/>
        <w:ind w:left="0" w:right="0" w:firstLine="0"/>
      </w:pPr>
      <w:bookmarkStart w:id="0" w:name="bookmark0"/>
      <w:r>
        <w:rPr>
          <w:rStyle w:val="CharStyle14"/>
          <w:i w:val="0"/>
          <w:iCs w:val="0"/>
        </w:rPr>
        <w:t xml:space="preserve">/£.//. </w:t>
      </w:r>
      <w:r>
        <w:rPr>
          <w:rStyle w:val="CharStyle15"/>
          <w:i/>
          <w:iCs/>
        </w:rPr>
        <w:t>А011-</w:t>
      </w:r>
      <w:r>
        <w:rPr>
          <w:rStyle w:val="CharStyle16"/>
          <w:i w:val="0"/>
          <w:iCs w:val="0"/>
        </w:rPr>
        <w:t xml:space="preserve"> </w:t>
      </w:r>
      <w:r>
        <w:rPr>
          <w:rStyle w:val="CharStyle17"/>
          <w:i w:val="0"/>
          <w:iCs w:val="0"/>
        </w:rPr>
        <w:t xml:space="preserve">№ </w:t>
      </w:r>
      <w:r>
        <w:rPr>
          <w:rStyle w:val="CharStyle18"/>
          <w:i/>
          <w:iCs/>
        </w:rPr>
        <w:t>iUi^gjcb</w:t>
      </w:r>
      <w:bookmarkEnd w:id="0"/>
    </w:p>
    <w:p>
      <w:pPr>
        <w:pStyle w:val="Style19"/>
        <w:tabs>
          <w:tab w:leader="none" w:pos="2605" w:val="right"/>
          <w:tab w:leader="none" w:pos="3573" w:val="left"/>
          <w:tab w:leader="underscore" w:pos="4203" w:val="left"/>
        </w:tabs>
        <w:widowControl w:val="0"/>
        <w:keepNext w:val="0"/>
        <w:keepLines w:val="0"/>
        <w:shd w:val="clear" w:color="auto" w:fill="auto"/>
        <w:bidi w:val="0"/>
        <w:spacing w:before="0" w:after="0" w:line="230" w:lineRule="exact"/>
        <w:ind w:left="560" w:right="0" w:firstLine="0"/>
      </w:pPr>
      <w:r>
        <w:rPr>
          <w:rStyle w:val="CharStyle21"/>
        </w:rPr>
        <w:t>На №</w:t>
        <w:tab/>
        <w:t>от</w:t>
        <w:tab/>
      </w:r>
      <w:r>
        <w:rPr>
          <w:rStyle w:val="CharStyle22"/>
          <w:lang w:val="ru-RU" w:eastAsia="ru-RU" w:bidi="ru-RU"/>
        </w:rPr>
        <w:tab/>
      </w:r>
    </w:p>
    <w:p>
      <w:pPr>
        <w:pStyle w:val="Style3"/>
        <w:widowControl w:val="0"/>
        <w:keepNext w:val="0"/>
        <w:keepLines w:val="0"/>
        <w:shd w:val="clear" w:color="auto" w:fill="auto"/>
        <w:bidi w:val="0"/>
        <w:jc w:val="left"/>
        <w:spacing w:before="0" w:after="12" w:line="210" w:lineRule="exact"/>
        <w:ind w:left="20" w:right="0" w:firstLine="0"/>
      </w:pPr>
      <w:r>
        <w:rPr>
          <w:lang w:val="ru-RU" w:eastAsia="ru-RU" w:bidi="ru-RU"/>
          <w:w w:val="100"/>
          <w:spacing w:val="0"/>
          <w:color w:val="000000"/>
          <w:position w:val="0"/>
        </w:rPr>
        <w:t>ООО «Сармат»</w:t>
      </w:r>
    </w:p>
    <w:p>
      <w:pPr>
        <w:pStyle w:val="Style23"/>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(далее - Заявитель)</w:t>
      </w:r>
    </w:p>
    <w:p>
      <w:pPr>
        <w:pStyle w:val="Style23"/>
        <w:widowControl w:val="0"/>
        <w:keepNext w:val="0"/>
        <w:keepLines w:val="0"/>
        <w:shd w:val="clear" w:color="auto" w:fill="auto"/>
        <w:bidi w:val="0"/>
        <w:jc w:val="left"/>
        <w:spacing w:before="0" w:after="180" w:line="256" w:lineRule="exact"/>
        <w:ind w:left="20" w:right="280" w:firstLine="0"/>
      </w:pPr>
      <w:r>
        <w:rPr>
          <w:lang w:val="ru-RU" w:eastAsia="ru-RU" w:bidi="ru-RU"/>
          <w:w w:val="100"/>
          <w:spacing w:val="0"/>
          <w:color w:val="000000"/>
          <w:position w:val="0"/>
        </w:rPr>
        <w:t xml:space="preserve">659650, Алтайский край, Алтайский р-н, с. Алтайское, ул. Советская, д. 88 эл. почта: </w:t>
      </w:r>
      <w:r>
        <w:fldChar w:fldCharType="begin"/>
      </w:r>
      <w:r>
        <w:rPr>
          <w:rStyle w:val="CharStyle25"/>
        </w:rPr>
        <w:instrText> HYPERLINK "mailto:ooosarmatl3@mail.ru" </w:instrText>
      </w:r>
      <w:r>
        <w:fldChar w:fldCharType="separate"/>
      </w:r>
      <w:r>
        <w:rPr>
          <w:rStyle w:val="Hyperlink"/>
        </w:rPr>
        <w:t>ooosarmatl3@mail.ru</w:t>
      </w:r>
      <w:r>
        <w:fldChar w:fldCharType="end"/>
      </w:r>
    </w:p>
    <w:p>
      <w:pPr>
        <w:pStyle w:val="Style3"/>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r>
    </w:p>
    <w:p>
      <w:pPr>
        <w:pStyle w:val="Style23"/>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Заказчик)</w:t>
      </w:r>
    </w:p>
    <w:p>
      <w:pPr>
        <w:pStyle w:val="Style23"/>
        <w:widowControl w:val="0"/>
        <w:keepNext w:val="0"/>
        <w:keepLines w:val="0"/>
        <w:shd w:val="clear" w:color="auto" w:fill="auto"/>
        <w:bidi w:val="0"/>
        <w:jc w:val="left"/>
        <w:spacing w:before="0" w:after="183" w:line="252" w:lineRule="exact"/>
        <w:ind w:left="20" w:right="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5"/>
        </w:rPr>
        <w:instrText> HYPERLINK "mailto:341@rndsk.ru" </w:instrText>
      </w:r>
      <w:r>
        <w:fldChar w:fldCharType="separate"/>
      </w:r>
      <w:r>
        <w:rPr>
          <w:rStyle w:val="Hyperlink"/>
        </w:rPr>
        <w:t>341@rndsk.ru</w:t>
      </w:r>
      <w:r>
        <w:fldChar w:fldCharType="end"/>
      </w:r>
    </w:p>
    <w:p>
      <w:pPr>
        <w:pStyle w:val="Style3"/>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Правительство Ростовской области</w:t>
      </w:r>
    </w:p>
    <w:p>
      <w:pPr>
        <w:pStyle w:val="Style23"/>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(далее - Привлеченное лицо)</w:t>
      </w:r>
    </w:p>
    <w:p>
      <w:pPr>
        <w:pStyle w:val="Style23"/>
        <w:widowControl w:val="0"/>
        <w:keepNext w:val="0"/>
        <w:keepLines w:val="0"/>
        <w:shd w:val="clear" w:color="auto" w:fill="auto"/>
        <w:bidi w:val="0"/>
        <w:jc w:val="left"/>
        <w:spacing w:before="0" w:after="180" w:line="248" w:lineRule="exact"/>
        <w:ind w:left="20" w:right="0" w:firstLine="0"/>
      </w:pPr>
      <w:r>
        <w:rPr>
          <w:lang w:val="ru-RU" w:eastAsia="ru-RU" w:bidi="ru-RU"/>
          <w:w w:val="100"/>
          <w:spacing w:val="0"/>
          <w:color w:val="000000"/>
          <w:position w:val="0"/>
        </w:rPr>
        <w:t>344050, г. Ростов-на-Дону, ул. Социалистическая, д. 112</w:t>
      </w:r>
    </w:p>
    <w:p>
      <w:pPr>
        <w:pStyle w:val="Style3"/>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АО «Национальная электронная площадка»</w:t>
      </w:r>
    </w:p>
    <w:p>
      <w:pPr>
        <w:pStyle w:val="Style23"/>
        <w:widowControl w:val="0"/>
        <w:keepNext w:val="0"/>
        <w:keepLines w:val="0"/>
        <w:shd w:val="clear" w:color="auto" w:fill="auto"/>
        <w:bidi w:val="0"/>
        <w:jc w:val="left"/>
        <w:spacing w:before="0" w:after="0" w:line="248" w:lineRule="exact"/>
        <w:ind w:left="20" w:right="0" w:firstLine="0"/>
        <w:sectPr>
          <w:footnotePr>
            <w:pos w:val="pageBottom"/>
            <w:numFmt w:val="decimal"/>
            <w:numRestart w:val="continuous"/>
          </w:footnotePr>
          <w:type w:val="continuous"/>
          <w:pgSz w:w="11906" w:h="16838"/>
          <w:pgMar w:top="461" w:left="821" w:right="1012" w:bottom="1203" w:header="0" w:footer="3" w:gutter="0"/>
          <w:rtlGutter w:val="0"/>
          <w:cols w:num="2" w:space="585"/>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5"/>
        </w:rPr>
        <w:instrText> HYPERLINK "http://www.etp-ets.ru" </w:instrText>
      </w:r>
      <w:r>
        <w:fldChar w:fldCharType="separate"/>
      </w:r>
      <w:r>
        <w:rPr>
          <w:rStyle w:val="Hyperlink"/>
        </w:rPr>
        <w:t>www.etp-ets.ru</w:t>
      </w:r>
      <w:r>
        <w:fldChar w:fldCharType="end"/>
      </w:r>
      <w:r>
        <w:rPr>
          <w:rStyle w:val="CharStyle25"/>
        </w:rPr>
        <w:t xml:space="preserve"> </w:t>
      </w:r>
      <w:r>
        <w:rPr>
          <w:lang w:val="ru-RU" w:eastAsia="ru-RU" w:bidi="ru-RU"/>
          <w:w w:val="100"/>
          <w:spacing w:val="0"/>
          <w:color w:val="000000"/>
          <w:position w:val="0"/>
        </w:rPr>
        <w:t xml:space="preserve">эл. почта: </w:t>
      </w:r>
      <w:r>
        <w:fldChar w:fldCharType="begin"/>
      </w:r>
      <w:r>
        <w:rPr>
          <w:rStyle w:val="CharStyle25"/>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304" w:line="310" w:lineRule="exact"/>
        <w:ind w:left="0" w:right="20" w:firstLine="0"/>
      </w:pPr>
      <w:r>
        <w:rPr>
          <w:lang w:val="ru-RU" w:eastAsia="ru-RU" w:bidi="ru-RU"/>
          <w:w w:val="100"/>
          <w:spacing w:val="0"/>
          <w:color w:val="000000"/>
          <w:position w:val="0"/>
        </w:rPr>
        <w:t>РЕШЕНИЕ по делгу № 2166/03 о нарушении законодательства о контрактной системе в сфере закупок</w:t>
      </w:r>
    </w:p>
    <w:p>
      <w:pPr>
        <w:pStyle w:val="Style19"/>
        <w:numPr>
          <w:ilvl w:val="0"/>
          <w:numId w:val="1"/>
        </w:numPr>
        <w:tabs>
          <w:tab w:leader="none" w:pos="8242" w:val="right"/>
          <w:tab w:leader="none" w:pos="9900" w:val="right"/>
          <w:tab w:leader="none" w:pos="7864" w:val="left"/>
        </w:tabs>
        <w:widowControl w:val="0"/>
        <w:keepNext w:val="0"/>
        <w:keepLines w:val="0"/>
        <w:shd w:val="clear" w:color="auto" w:fill="auto"/>
        <w:bidi w:val="0"/>
        <w:spacing w:before="0" w:after="259" w:line="230" w:lineRule="exact"/>
        <w:ind w:left="20" w:right="0" w:firstLine="0"/>
      </w:pPr>
      <w:r>
        <w:rPr>
          <w:lang w:val="ru-RU" w:eastAsia="ru-RU" w:bidi="ru-RU"/>
          <w:w w:val="100"/>
          <w:spacing w:val="0"/>
          <w:color w:val="000000"/>
          <w:position w:val="0"/>
        </w:rPr>
        <w:t>гор.</w:t>
        <w:tab/>
        <w:t>Ростов-на-Дону</w:t>
      </w:r>
    </w:p>
    <w:p>
      <w:pPr>
        <w:pStyle w:val="Style19"/>
        <w:widowControl w:val="0"/>
        <w:keepNext w:val="0"/>
        <w:keepLines w:val="0"/>
        <w:shd w:val="clear" w:color="auto" w:fill="auto"/>
        <w:bidi w:val="0"/>
        <w:spacing w:before="0" w:after="229" w:line="302"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9"/>
        <w:tabs>
          <w:tab w:leader="none" w:pos="8516" w:val="right"/>
          <w:tab w:leader="none" w:pos="9900" w:val="righ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Председатель Комиссии:</w:t>
        <w:tab/>
        <w:t>К.А.</w:t>
        <w:tab/>
        <w:t>Коренченко,</w:t>
      </w:r>
    </w:p>
    <w:p>
      <w:pPr>
        <w:pStyle w:val="Style19"/>
        <w:tabs>
          <w:tab w:leader="none" w:pos="9398" w:val="righ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Члены Комиссии:</w:t>
        <w:tab/>
        <w:t>Т.С. Акопян,</w:t>
      </w:r>
    </w:p>
    <w:p>
      <w:pPr>
        <w:pStyle w:val="Style19"/>
        <w:widowControl w:val="0"/>
        <w:keepNext w:val="0"/>
        <w:keepLines w:val="0"/>
        <w:shd w:val="clear" w:color="auto" w:fill="auto"/>
        <w:bidi w:val="0"/>
        <w:jc w:val="left"/>
        <w:spacing w:before="0" w:after="237" w:line="230" w:lineRule="exact"/>
        <w:ind w:left="8080" w:right="0" w:firstLine="0"/>
      </w:pPr>
      <w:r>
        <w:rPr>
          <w:lang w:val="ru-RU" w:eastAsia="ru-RU" w:bidi="ru-RU"/>
          <w:w w:val="100"/>
          <w:spacing w:val="0"/>
          <w:color w:val="000000"/>
          <w:position w:val="0"/>
        </w:rPr>
        <w:t>Е.А. Черняк,</w:t>
      </w:r>
    </w:p>
    <w:p>
      <w:pPr>
        <w:pStyle w:val="Style19"/>
        <w:widowControl w:val="0"/>
        <w:keepNext w:val="0"/>
        <w:keepLines w:val="0"/>
        <w:shd w:val="clear" w:color="auto" w:fill="auto"/>
        <w:bidi w:val="0"/>
        <w:spacing w:before="0" w:after="307" w:line="313" w:lineRule="exact"/>
        <w:ind w:left="20" w:right="2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в отсутствие представителей (уведомлены надлежащим образом), в присутствии представителей Заказчика - Семигродских В.В. (доверенность от 07.11.2017), Хачикьяна А.С. (доверенность от 02.06.2017), в отсутствие представителей Привлеченного лица (уведомлены надлежащим образом),</w:t>
      </w:r>
    </w:p>
    <w:p>
      <w:pPr>
        <w:pStyle w:val="Style6"/>
        <w:widowControl w:val="0"/>
        <w:keepNext w:val="0"/>
        <w:keepLines w:val="0"/>
        <w:shd w:val="clear" w:color="auto" w:fill="auto"/>
        <w:bidi w:val="0"/>
        <w:spacing w:before="0" w:after="266" w:line="230" w:lineRule="exact"/>
        <w:ind w:left="0" w:right="20" w:firstLine="0"/>
      </w:pPr>
      <w:r>
        <w:rPr>
          <w:lang w:val="ru-RU" w:eastAsia="ru-RU" w:bidi="ru-RU"/>
          <w:w w:val="100"/>
          <w:spacing w:val="0"/>
          <w:color w:val="000000"/>
          <w:position w:val="0"/>
        </w:rPr>
        <w:t>УСТАНОВИЛА:</w:t>
      </w:r>
    </w:p>
    <w:p>
      <w:pPr>
        <w:pStyle w:val="Style26"/>
        <w:framePr w:h="340" w:wrap="notBeside" w:vAnchor="text" w:hAnchor="margin" w:x="8890" w:y="100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009792</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Ростовское УФАС России 02.11.2017 поступила жалоба ООО «Сармат» о признаках нарушения комиссией Заказчика положений Федерального закона от 05.04.2013</w:t>
        <w:br w:type="page"/>
        <w:t>№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По мнению Заявителя, заявка, поданная им на участие в электронном аукционе, отклонена комиссией Заказчика неправомерно, с нарушением норм законодательства о контрактной системе в сфере закупок.</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Заказчик в письменном возражении на жалобу указывает, что заявка, поданная Заявителем на участие в электронном аукционе, не содержала в себе единиц измерения показателя «размеры умывальников» по товару «умывальники».</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поданной жалобе Ростовским У ФАС России возбуждено дело № 2166/03, что подтверждено уведомлением о содержании жалобы и назначении времени и места её рассмотрения (исх. № 20627/03 от 02.11.2017).</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19"/>
        <w:numPr>
          <w:ilvl w:val="0"/>
          <w:numId w:val="3"/>
        </w:numPr>
        <w:tabs>
          <w:tab w:leader="none" w:pos="1953" w:val="left"/>
        </w:tabs>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В редакции № ИИ2 (далее - Извещение).</w:t>
      </w:r>
    </w:p>
    <w:p>
      <w:pPr>
        <w:pStyle w:val="Style19"/>
        <w:widowControl w:val="0"/>
        <w:keepNext w:val="0"/>
        <w:keepLines w:val="0"/>
        <w:shd w:val="clear" w:color="auto" w:fill="auto"/>
        <w:bidi w:val="0"/>
        <w:spacing w:before="0" w:after="234" w:line="320" w:lineRule="exact"/>
        <w:ind w:left="20" w:right="20" w:firstLine="720"/>
      </w:pPr>
      <w:r>
        <w:rPr>
          <w:lang w:val="ru-RU" w:eastAsia="ru-RU" w:bidi="ru-RU"/>
          <w:w w:val="100"/>
          <w:spacing w:val="0"/>
          <w:color w:val="000000"/>
          <w:position w:val="0"/>
        </w:rPr>
        <w:t>Согласно данному Извещению начальная (максимальная) цена контракта составила 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19"/>
        <w:widowControl w:val="0"/>
        <w:keepNext w:val="0"/>
        <w:keepLines w:val="0"/>
        <w:shd w:val="clear" w:color="auto" w:fill="auto"/>
        <w:bidi w:val="0"/>
        <w:spacing w:before="0" w:after="243" w:line="328" w:lineRule="exact"/>
        <w:ind w:left="20" w:right="20" w:firstLine="720"/>
      </w:pPr>
      <w:r>
        <w:rPr>
          <w:lang w:val="ru-RU" w:eastAsia="ru-RU" w:bidi="ru-RU"/>
          <w:w w:val="100"/>
          <w:spacing w:val="0"/>
          <w:color w:val="000000"/>
          <w:position w:val="0"/>
        </w:rPr>
        <w:t>I. Комиссией Ростовского У ФАС России в ходе рассмотрения доводов жалобы установлено следующее:</w:t>
      </w:r>
    </w:p>
    <w:p>
      <w:pPr>
        <w:pStyle w:val="Style19"/>
        <w:widowControl w:val="0"/>
        <w:keepNext w:val="0"/>
        <w:keepLines w:val="0"/>
        <w:shd w:val="clear" w:color="auto" w:fill="auto"/>
        <w:bidi w:val="0"/>
        <w:spacing w:before="0" w:after="0" w:line="324" w:lineRule="exact"/>
        <w:ind w:left="20" w:right="20" w:firstLine="72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spacing w:before="0" w:after="0" w:line="338" w:lineRule="exact"/>
        <w:ind w:left="20" w:right="20" w:firstLine="72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19"/>
        <w:numPr>
          <w:ilvl w:val="0"/>
          <w:numId w:val="5"/>
        </w:numPr>
        <w:widowControl w:val="0"/>
        <w:keepNext w:val="0"/>
        <w:keepLines w:val="0"/>
        <w:shd w:val="clear" w:color="auto" w:fill="auto"/>
        <w:bidi w:val="0"/>
        <w:spacing w:before="0" w:after="0" w:line="335" w:lineRule="exact"/>
        <w:ind w:left="20" w:right="20" w:firstLine="72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19"/>
        <w:numPr>
          <w:ilvl w:val="0"/>
          <w:numId w:val="5"/>
        </w:numPr>
        <w:widowControl w:val="0"/>
        <w:keepNext w:val="0"/>
        <w:keepLines w:val="0"/>
        <w:shd w:val="clear" w:color="auto" w:fill="auto"/>
        <w:bidi w:val="0"/>
        <w:spacing w:before="0" w:after="0" w:line="338" w:lineRule="exact"/>
        <w:ind w:left="20" w:right="20" w:firstLine="72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19"/>
        <w:widowControl w:val="0"/>
        <w:keepNext w:val="0"/>
        <w:keepLines w:val="0"/>
        <w:shd w:val="clear" w:color="auto" w:fill="auto"/>
        <w:bidi w:val="0"/>
        <w:spacing w:before="0" w:after="0" w:line="335" w:lineRule="exact"/>
        <w:ind w:left="20" w:right="20" w:firstLine="72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19"/>
        <w:numPr>
          <w:ilvl w:val="0"/>
          <w:numId w:val="7"/>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8, 9,14,15;</w:t>
      </w:r>
    </w:p>
    <w:p>
      <w:pPr>
        <w:pStyle w:val="Style19"/>
        <w:numPr>
          <w:ilvl w:val="0"/>
          <w:numId w:val="7"/>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w:t>
      </w:r>
      <w:r>
        <w:rPr>
          <w:rStyle w:val="CharStyle29"/>
        </w:rPr>
        <w:t>1-7, 10-12,</w:t>
      </w:r>
      <w:r>
        <w:rPr>
          <w:lang w:val="ru-RU" w:eastAsia="ru-RU" w:bidi="ru-RU"/>
          <w:w w:val="100"/>
          <w:spacing w:val="0"/>
          <w:color w:val="000000"/>
          <w:position w:val="0"/>
        </w:rPr>
        <w:t xml:space="preserve"> 13 (Заявитель), </w:t>
      </w:r>
      <w:r>
        <w:rPr>
          <w:rStyle w:val="CharStyle29"/>
        </w:rPr>
        <w:t>16-22.</w:t>
      </w:r>
    </w:p>
    <w:p>
      <w:pPr>
        <w:pStyle w:val="Style30"/>
        <w:widowControl w:val="0"/>
        <w:keepNext w:val="0"/>
        <w:keepLines w:val="0"/>
        <w:shd w:val="clear" w:color="auto" w:fill="auto"/>
        <w:bidi w:val="0"/>
        <w:spacing w:before="0" w:after="0"/>
        <w:ind w:left="20" w:right="20"/>
      </w:pPr>
      <w:r>
        <w:rPr>
          <w:rStyle w:val="CharStyle32"/>
          <w:i w:val="0"/>
          <w:iCs w:val="0"/>
        </w:rPr>
        <w:t xml:space="preserve">Согласно сведениям, содержащимся в Протоколе, заявка ООО «Сармат» отклонена аукционной комиссией Заказчика, в том числе, по следующему основанию: </w:t>
      </w:r>
      <w:r>
        <w:rPr>
          <w:lang w:val="ru-RU" w:eastAsia="ru-RU" w:bidi="ru-RU"/>
          <w:w w:val="100"/>
          <w:spacing w:val="0"/>
          <w:color w:val="000000"/>
          <w:position w:val="0"/>
        </w:rPr>
        <w:t>«по позиции технической части: «Умывальники» участником закупки не указаны единицы измерения по параметру: «Размеры умывальников». Согласно Инструкции по заполнению заявки: «Все размеры товаров/материалов указаны заказчиком в миллиметрах (мм), показатели температуры в градусах Цельсия, единица измерения сечения (кабеля) указана в миллиметрах квадратных (мм ), угловые размеры в градусах, если документацией не предусмотрено иное».</w:t>
      </w:r>
      <w:r>
        <w:br w:type="page"/>
      </w:r>
    </w:p>
    <w:p>
      <w:pPr>
        <w:pStyle w:val="Style19"/>
        <w:widowControl w:val="0"/>
        <w:keepNext w:val="0"/>
        <w:keepLines w:val="0"/>
        <w:shd w:val="clear" w:color="auto" w:fill="auto"/>
        <w:bidi w:val="0"/>
        <w:spacing w:before="0" w:after="330" w:line="317" w:lineRule="exact"/>
        <w:ind w:left="20" w:right="0" w:firstLine="700"/>
      </w:pPr>
      <w:r>
        <w:rPr>
          <w:lang w:val="ru-RU" w:eastAsia="ru-RU" w:bidi="ru-RU"/>
          <w:w w:val="100"/>
          <w:spacing w:val="0"/>
          <w:color w:val="000000"/>
          <w:position w:val="0"/>
        </w:rPr>
        <w:t>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w:t>
      </w:r>
    </w:p>
    <w:p>
      <w:pPr>
        <w:pStyle w:val="Style9"/>
        <w:framePr w:h="169" w:hSpace="564" w:vSpace="508" w:wrap="around" w:vAnchor="text" w:hAnchor="margin" w:x="161" w:y="95"/>
        <w:widowControl w:val="0"/>
        <w:keepNext w:val="0"/>
        <w:keepLines w:val="0"/>
        <w:shd w:val="clear" w:color="auto" w:fill="auto"/>
        <w:bidi w:val="0"/>
        <w:jc w:val="left"/>
        <w:spacing w:before="0" w:after="0" w:line="150" w:lineRule="exact"/>
        <w:ind w:left="100" w:right="0" w:firstLine="0"/>
      </w:pPr>
      <w:r>
        <w:rPr>
          <w:rStyle w:val="CharStyle28"/>
          <w:spacing w:val="0"/>
        </w:rPr>
        <w:t>Наименование товара (материала)</w:t>
      </w:r>
    </w:p>
    <w:p>
      <w:pPr>
        <w:pStyle w:val="Style9"/>
        <w:tabs>
          <w:tab w:leader="underscore" w:pos="1946" w:val="right"/>
          <w:tab w:leader="none" w:pos="2688" w:val="right"/>
          <w:tab w:leader="none" w:pos="3382" w:val="right"/>
          <w:tab w:leader="none" w:pos="3595" w:val="right"/>
          <w:tab w:leader="none" w:pos="3738" w:val="left"/>
          <w:tab w:leader="underscore" w:pos="6054" w:val="left"/>
        </w:tabs>
        <w:widowControl w:val="0"/>
        <w:keepNext w:val="0"/>
        <w:keepLines w:val="0"/>
        <w:shd w:val="clear" w:color="auto" w:fill="auto"/>
        <w:bidi w:val="0"/>
        <w:jc w:val="both"/>
        <w:spacing w:before="0" w:after="0" w:line="205" w:lineRule="exact"/>
        <w:ind w:left="20" w:right="0" w:firstLine="0"/>
        <w:sectPr>
          <w:type w:val="continuous"/>
          <w:pgSz w:w="11906" w:h="16838"/>
          <w:pgMar w:top="854" w:left="878" w:right="878" w:bottom="1311" w:header="0" w:footer="3" w:gutter="184"/>
          <w:rtlGutter w:val="0"/>
          <w:cols w:space="720"/>
          <w:noEndnote/>
          <w:docGrid w:linePitch="360"/>
        </w:sectPr>
      </w:pPr>
      <w:r>
        <w:rPr>
          <w:lang w:val="ru-RU" w:eastAsia="ru-RU" w:bidi="ru-RU"/>
          <w:w w:val="100"/>
          <w:spacing w:val="0"/>
          <w:color w:val="000000"/>
          <w:position w:val="0"/>
        </w:rPr>
        <w:t xml:space="preserve">Наименования и максимальные/минимальные значения показателей, а также </w:t>
        <w:tab/>
        <w:t>показатели,</w:t>
        <w:tab/>
        <w:t>значения</w:t>
        <w:tab/>
        <w:t>которых</w:t>
        <w:tab/>
        <w:t>не</w:t>
        <w:tab/>
        <w:t>могут изменяться</w:t>
        <w:tab/>
      </w:r>
    </w:p>
    <w:p>
      <w:pPr>
        <w:widowControl w:val="0"/>
        <w:spacing w:line="15"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56" w:wrap="around" w:vAnchor="text" w:hAnchor="margin" w:x="-5325" w:y="1135"/>
        <w:widowControl w:val="0"/>
        <w:keepNext w:val="0"/>
        <w:keepLines w:val="0"/>
        <w:shd w:val="clear" w:color="auto" w:fill="auto"/>
        <w:bidi w:val="0"/>
        <w:jc w:val="left"/>
        <w:spacing w:before="0" w:after="0" w:line="150" w:lineRule="exact"/>
        <w:ind w:left="0" w:right="0" w:firstLine="0"/>
      </w:pPr>
      <w:r>
        <w:rPr>
          <w:rStyle w:val="CharStyle28"/>
          <w:spacing w:val="0"/>
        </w:rPr>
        <w:t>Умывальники</w:t>
      </w:r>
    </w:p>
    <w:p>
      <w:pPr>
        <w:pStyle w:val="Style9"/>
        <w:widowControl w:val="0"/>
        <w:keepNext w:val="0"/>
        <w:keepLines w:val="0"/>
        <w:shd w:val="clear" w:color="auto" w:fill="auto"/>
        <w:bidi w:val="0"/>
        <w:jc w:val="left"/>
        <w:spacing w:before="0" w:after="0" w:line="205" w:lineRule="exact"/>
        <w:ind w:left="0" w:right="140" w:firstLine="0"/>
      </w:pPr>
      <w:r>
        <w:rPr>
          <w:lang w:val="ru-RU" w:eastAsia="ru-RU" w:bidi="ru-RU"/>
          <w:w w:val="100"/>
          <w:spacing w:val="0"/>
          <w:color w:val="000000"/>
          <w:position w:val="0"/>
        </w:rPr>
        <w:t>Умывальники должны быть полуфарфоровые/фарфоровые с кронштейнами, сифоном бутылочным латунным и выпуском, полукруглые со скрытыми установочными поверхностями без спинки.</w:t>
      </w:r>
    </w:p>
    <w:p>
      <w:pPr>
        <w:pStyle w:val="Style9"/>
        <w:widowControl w:val="0"/>
        <w:keepNext w:val="0"/>
        <w:keepLines w:val="0"/>
        <w:shd w:val="clear" w:color="auto" w:fill="auto"/>
        <w:bidi w:val="0"/>
        <w:jc w:val="left"/>
        <w:spacing w:before="0" w:after="0" w:line="205" w:lineRule="exact"/>
        <w:ind w:left="0" w:right="460" w:firstLine="0"/>
        <w:sectPr>
          <w:type w:val="continuous"/>
          <w:pgSz w:w="11906" w:h="16838"/>
          <w:pgMar w:top="581" w:left="7383" w:right="1130" w:bottom="1197" w:header="0" w:footer="3" w:gutter="0"/>
          <w:rtlGutter w:val="0"/>
          <w:cols w:space="720"/>
          <w:noEndnote/>
          <w:docGrid w:linePitch="360"/>
        </w:sectPr>
      </w:pPr>
      <w:r>
        <w:rPr>
          <w:lang w:val="ru-RU" w:eastAsia="ru-RU" w:bidi="ru-RU"/>
          <w:w w:val="100"/>
          <w:spacing w:val="0"/>
          <w:color w:val="000000"/>
          <w:position w:val="0"/>
        </w:rPr>
        <w:t>Размеры умывальников приведены на рисунке и в таблице.</w:t>
      </w:r>
    </w:p>
    <w:p>
      <w:pPr>
        <w:widowControl w:val="0"/>
        <w:spacing w:line="196"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tbl>
      <w:tblPr>
        <w:tblOverlap w:val="never"/>
        <w:tblLayout w:type="fixed"/>
        <w:jc w:val="center"/>
      </w:tblPr>
      <w:tblGrid>
        <w:gridCol w:w="1008"/>
        <w:gridCol w:w="990"/>
        <w:gridCol w:w="990"/>
        <w:gridCol w:w="1008"/>
      </w:tblGrid>
      <w:tr>
        <w:trPr>
          <w:trHeight w:val="223" w:hRule="exact"/>
        </w:trPr>
        <w:tc>
          <w:tcPr>
            <w:shd w:val="clear" w:color="auto" w:fill="FFFFFF"/>
            <w:tcBorders>
              <w:left w:val="single" w:sz="4"/>
              <w:top w:val="single" w:sz="4"/>
            </w:tcBorders>
            <w:vAlign w:val="bottom"/>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3"/>
                <w:lang w:val="en-US" w:eastAsia="en-US" w:bidi="en-US"/>
              </w:rPr>
              <w:t>L</w:t>
            </w:r>
          </w:p>
        </w:tc>
        <w:tc>
          <w:tcPr>
            <w:shd w:val="clear" w:color="auto" w:fill="FFFFFF"/>
            <w:tcBorders>
              <w:left w:val="single" w:sz="4"/>
              <w:top w:val="single" w:sz="4"/>
            </w:tcBorders>
            <w:vAlign w:val="bottom"/>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3"/>
              </w:rPr>
              <w:t>В</w:t>
            </w:r>
          </w:p>
        </w:tc>
        <w:tc>
          <w:tcPr>
            <w:shd w:val="clear" w:color="auto" w:fill="FFFFFF"/>
            <w:tcBorders>
              <w:left w:val="single" w:sz="4"/>
              <w:top w:val="single" w:sz="4"/>
            </w:tcBorders>
            <w:vAlign w:val="bottom"/>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3"/>
              </w:rPr>
              <w:t>Н</w:t>
            </w:r>
          </w:p>
        </w:tc>
        <w:tc>
          <w:tcPr>
            <w:shd w:val="clear" w:color="auto" w:fill="FFFFFF"/>
            <w:tcBorders>
              <w:left w:val="single" w:sz="4"/>
              <w:right w:val="single" w:sz="4"/>
              <w:top w:val="single" w:sz="4"/>
            </w:tcBorders>
            <w:vAlign w:val="bottom"/>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w:t>
            </w:r>
          </w:p>
        </w:tc>
      </w:tr>
      <w:tr>
        <w:trPr>
          <w:trHeight w:val="234" w:hRule="exact"/>
        </w:trPr>
        <w:tc>
          <w:tcPr>
            <w:shd w:val="clear" w:color="auto" w:fill="FFFFFF"/>
            <w:tcBorders>
              <w:left w:val="single" w:sz="4"/>
              <w:top w:val="single" w:sz="4"/>
              <w:bottom w:val="single" w:sz="4"/>
            </w:tcBorders>
            <w:vAlign w:val="top"/>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550</w:t>
            </w:r>
          </w:p>
        </w:tc>
        <w:tc>
          <w:tcPr>
            <w:shd w:val="clear" w:color="auto" w:fill="FFFFFF"/>
            <w:tcBorders>
              <w:left w:val="single" w:sz="4"/>
              <w:top w:val="single" w:sz="4"/>
              <w:bottom w:val="single" w:sz="4"/>
            </w:tcBorders>
            <w:vAlign w:val="top"/>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480</w:t>
            </w:r>
          </w:p>
        </w:tc>
        <w:tc>
          <w:tcPr>
            <w:shd w:val="clear" w:color="auto" w:fill="FFFFFF"/>
            <w:tcBorders>
              <w:left w:val="single" w:sz="4"/>
              <w:top w:val="single" w:sz="4"/>
              <w:bottom w:val="single" w:sz="4"/>
            </w:tcBorders>
            <w:vAlign w:val="top"/>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150</w:t>
            </w:r>
          </w:p>
        </w:tc>
        <w:tc>
          <w:tcPr>
            <w:shd w:val="clear" w:color="auto" w:fill="FFFFFF"/>
            <w:tcBorders>
              <w:left w:val="single" w:sz="4"/>
              <w:right w:val="single" w:sz="4"/>
              <w:top w:val="single" w:sz="4"/>
              <w:bottom w:val="single" w:sz="4"/>
            </w:tcBorders>
            <w:vAlign w:val="bottom"/>
          </w:tcPr>
          <w:p>
            <w:pPr>
              <w:pStyle w:val="Style19"/>
              <w:framePr w:w="3996" w:hSpace="139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180...200</w:t>
            </w:r>
          </w:p>
        </w:tc>
      </w:tr>
    </w:tbl>
    <w:p>
      <w:pPr>
        <w:widowControl w:val="0"/>
        <w:rPr>
          <w:sz w:val="2"/>
          <w:szCs w:val="2"/>
        </w:rPr>
      </w:pPr>
    </w:p>
    <w:p>
      <w:pPr>
        <w:pStyle w:val="Style19"/>
        <w:widowControl w:val="0"/>
        <w:keepNext w:val="0"/>
        <w:keepLines w:val="0"/>
        <w:shd w:val="clear" w:color="auto" w:fill="auto"/>
        <w:bidi w:val="0"/>
        <w:spacing w:before="403" w:after="0" w:line="317" w:lineRule="exact"/>
        <w:ind w:left="0" w:right="0" w:firstLine="700"/>
      </w:pPr>
      <w:r>
        <w:rPr>
          <w:lang w:val="ru-RU" w:eastAsia="ru-RU" w:bidi="ru-RU"/>
          <w:w w:val="100"/>
          <w:spacing w:val="0"/>
          <w:color w:val="000000"/>
          <w:position w:val="0"/>
        </w:rPr>
        <w:t>В соответствии с инструкцией по заполнению заявки на участие в аукционе, содержащейся в п. 20 раздела 1 (далее - Инструкция):</w:t>
      </w:r>
    </w:p>
    <w:p>
      <w:pPr>
        <w:pStyle w:val="Style19"/>
        <w:numPr>
          <w:ilvl w:val="0"/>
          <w:numId w:val="7"/>
        </w:numPr>
        <w:widowControl w:val="0"/>
        <w:keepNext w:val="0"/>
        <w:keepLines w:val="0"/>
        <w:shd w:val="clear" w:color="auto" w:fill="auto"/>
        <w:bidi w:val="0"/>
        <w:spacing w:before="0" w:after="0" w:line="317" w:lineRule="exact"/>
        <w:ind w:left="0" w:right="0" w:firstLine="700"/>
      </w:pPr>
      <w:r>
        <w:rPr>
          <w:lang w:val="ru-RU" w:eastAsia="ru-RU" w:bidi="ru-RU"/>
          <w:w w:val="100"/>
          <w:spacing w:val="0"/>
          <w:color w:val="000000"/>
          <w:position w:val="0"/>
        </w:rPr>
        <w:t xml:space="preserve"> участник при подаче заявки обязан указать единицы измерения по каждому параметру товара;</w:t>
      </w:r>
    </w:p>
    <w:p>
      <w:pPr>
        <w:pStyle w:val="Style19"/>
        <w:numPr>
          <w:ilvl w:val="0"/>
          <w:numId w:val="7"/>
        </w:numPr>
        <w:widowControl w:val="0"/>
        <w:keepNext w:val="0"/>
        <w:keepLines w:val="0"/>
        <w:shd w:val="clear" w:color="auto" w:fill="auto"/>
        <w:bidi w:val="0"/>
        <w:spacing w:before="0" w:after="0" w:line="317" w:lineRule="exact"/>
        <w:ind w:left="0" w:right="0" w:firstLine="700"/>
      </w:pPr>
      <w:r>
        <w:rPr>
          <w:lang w:val="ru-RU" w:eastAsia="ru-RU" w:bidi="ru-RU"/>
          <w:w w:val="100"/>
          <w:spacing w:val="0"/>
          <w:color w:val="000000"/>
          <w:position w:val="0"/>
        </w:rPr>
        <w:t xml:space="preserve"> все размеры товаров/материалов указаны заказчиком в миллиметрах (мм), показатели температуры в градусах Цельсия, единица измерения сечения (кабеля) указана в миллиметрах квадратных (мм2), угловые размеры в градусах, если документацией не предусмотрено иное.</w:t>
      </w:r>
    </w:p>
    <w:p>
      <w:pPr>
        <w:pStyle w:val="Style19"/>
        <w:widowControl w:val="0"/>
        <w:keepNext w:val="0"/>
        <w:keepLines w:val="0"/>
        <w:shd w:val="clear" w:color="auto" w:fill="auto"/>
        <w:bidi w:val="0"/>
        <w:spacing w:before="0" w:after="0" w:line="317" w:lineRule="exact"/>
        <w:ind w:left="0" w:right="0" w:firstLine="700"/>
        <w:sectPr>
          <w:type w:val="continuous"/>
          <w:pgSz w:w="11906" w:h="16838"/>
          <w:pgMar w:top="566" w:left="997" w:right="1001" w:bottom="1182" w:header="0" w:footer="3" w:gutter="0"/>
          <w:rtlGutter w:val="0"/>
          <w:cols w:space="720"/>
          <w:noEndnote/>
          <w:docGrid w:linePitch="360"/>
        </w:sectPr>
      </w:pPr>
      <w:r>
        <w:rPr>
          <w:lang w:val="ru-RU" w:eastAsia="ru-RU" w:bidi="ru-RU"/>
          <w:w w:val="100"/>
          <w:spacing w:val="0"/>
          <w:color w:val="000000"/>
          <w:position w:val="0"/>
        </w:rPr>
        <w:t>В составе заявки участника закупки № 13 по товару «умывальники» содержится следующая информация:</w:t>
      </w:r>
    </w:p>
    <w:p>
      <w:pPr>
        <w:pStyle w:val="Style9"/>
        <w:framePr w:w="1314" w:h="589" w:wrap="none" w:vAnchor="text" w:hAnchor="margin" w:x="91" w:y="3"/>
        <w:widowControl w:val="0"/>
        <w:keepNext w:val="0"/>
        <w:keepLines w:val="0"/>
        <w:shd w:val="clear" w:color="auto" w:fill="auto"/>
        <w:bidi w:val="0"/>
        <w:spacing w:before="0" w:after="0" w:line="209" w:lineRule="exact"/>
        <w:ind w:left="0" w:right="0" w:firstLine="0"/>
      </w:pPr>
      <w:r>
        <w:rPr>
          <w:rStyle w:val="CharStyle28"/>
          <w:spacing w:val="0"/>
        </w:rPr>
        <w:t>Наименование</w:t>
      </w:r>
    </w:p>
    <w:p>
      <w:pPr>
        <w:pStyle w:val="Style9"/>
        <w:framePr w:w="1314" w:h="589" w:wrap="none" w:vAnchor="text" w:hAnchor="margin" w:x="91" w:y="3"/>
        <w:widowControl w:val="0"/>
        <w:keepNext w:val="0"/>
        <w:keepLines w:val="0"/>
        <w:shd w:val="clear" w:color="auto" w:fill="auto"/>
        <w:bidi w:val="0"/>
        <w:spacing w:before="0" w:after="0" w:line="209" w:lineRule="exact"/>
        <w:ind w:left="0" w:right="0" w:firstLine="0"/>
      </w:pPr>
      <w:r>
        <w:rPr>
          <w:rStyle w:val="CharStyle28"/>
          <w:spacing w:val="0"/>
        </w:rPr>
        <w:t>товара</w:t>
      </w:r>
    </w:p>
    <w:p>
      <w:pPr>
        <w:pStyle w:val="Style9"/>
        <w:framePr w:w="1314" w:h="589" w:wrap="none" w:vAnchor="text" w:hAnchor="margin" w:x="91" w:y="3"/>
        <w:widowControl w:val="0"/>
        <w:keepNext w:val="0"/>
        <w:keepLines w:val="0"/>
        <w:shd w:val="clear" w:color="auto" w:fill="auto"/>
        <w:bidi w:val="0"/>
        <w:spacing w:before="0" w:after="0" w:line="209" w:lineRule="exact"/>
        <w:ind w:left="0" w:right="0" w:firstLine="0"/>
      </w:pPr>
      <w:r>
        <w:rPr>
          <w:rStyle w:val="CharStyle28"/>
          <w:spacing w:val="0"/>
        </w:rPr>
        <w:t>(материала)</w:t>
      </w:r>
    </w:p>
    <w:p>
      <w:pPr>
        <w:pStyle w:val="Style9"/>
        <w:framePr w:w="3024" w:h="156" w:wrap="none" w:vAnchor="text" w:hAnchor="margin" w:x="2240"/>
        <w:widowControl w:val="0"/>
        <w:keepNext w:val="0"/>
        <w:keepLines w:val="0"/>
        <w:shd w:val="clear" w:color="auto" w:fill="auto"/>
        <w:bidi w:val="0"/>
        <w:jc w:val="left"/>
        <w:spacing w:before="0" w:after="0" w:line="150" w:lineRule="exact"/>
        <w:ind w:left="100" w:right="0" w:firstLine="0"/>
      </w:pPr>
      <w:r>
        <w:rPr>
          <w:rStyle w:val="CharStyle28"/>
          <w:spacing w:val="0"/>
        </w:rPr>
        <w:t>Наименования значения показателей</w:t>
      </w:r>
    </w:p>
    <w:p>
      <w:pPr>
        <w:pStyle w:val="Style9"/>
        <w:framePr w:w="2037" w:h="385" w:wrap="none" w:vAnchor="text" w:hAnchor="margin" w:x="7752" w:y="3"/>
        <w:widowControl w:val="0"/>
        <w:keepNext w:val="0"/>
        <w:keepLines w:val="0"/>
        <w:shd w:val="clear" w:color="auto" w:fill="auto"/>
        <w:bidi w:val="0"/>
        <w:spacing w:before="0" w:after="0" w:line="212" w:lineRule="exact"/>
        <w:ind w:left="0" w:right="0" w:firstLine="0"/>
      </w:pPr>
      <w:r>
        <w:rPr>
          <w:rStyle w:val="CharStyle28"/>
          <w:spacing w:val="0"/>
        </w:rPr>
        <w:t>Товарный знак (его словесное обозначение)</w:t>
      </w:r>
    </w:p>
    <w:p>
      <w:pPr>
        <w:pStyle w:val="Style35"/>
        <w:framePr w:w="1436" w:h="828" w:wrap="none" w:vAnchor="text" w:hAnchor="margin" w:x="6103" w:y="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Наименование</w:t>
      </w:r>
    </w:p>
    <w:p>
      <w:pPr>
        <w:pStyle w:val="Style35"/>
        <w:framePr w:w="1436" w:h="828" w:wrap="none" w:vAnchor="text" w:hAnchor="margin" w:x="6103" w:y="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страны</w:t>
      </w:r>
    </w:p>
    <w:p>
      <w:pPr>
        <w:pStyle w:val="Style35"/>
        <w:framePr w:w="1436" w:h="828" w:wrap="none" w:vAnchor="text" w:hAnchor="margin" w:x="6103" w:y="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происхождения</w:t>
      </w:r>
    </w:p>
    <w:p>
      <w:pPr>
        <w:pStyle w:val="Style35"/>
        <w:framePr w:w="1436" w:h="828" w:wrap="none" w:vAnchor="text" w:hAnchor="margin" w:x="6103" w:y="10"/>
        <w:widowControl w:val="0"/>
        <w:keepNext w:val="0"/>
        <w:keepLines w:val="0"/>
        <w:shd w:val="clear" w:color="auto" w:fill="auto"/>
        <w:bidi w:val="0"/>
        <w:spacing w:before="0" w:after="0"/>
        <w:ind w:left="0" w:right="0" w:firstLine="0"/>
      </w:pPr>
      <w:r>
        <w:rPr>
          <w:rStyle w:val="CharStyle37"/>
          <w:spacing w:val="0"/>
        </w:rPr>
        <w:t>товара</w:t>
      </w:r>
    </w:p>
    <w:p>
      <w:pPr>
        <w:pStyle w:val="Style9"/>
        <w:framePr w:w="4356" w:h="1033" w:wrap="none" w:vAnchor="text" w:hAnchor="margin" w:x="1574" w:y="845"/>
        <w:widowControl w:val="0"/>
        <w:keepNext w:val="0"/>
        <w:keepLines w:val="0"/>
        <w:shd w:val="clear" w:color="auto" w:fill="auto"/>
        <w:bidi w:val="0"/>
        <w:spacing w:before="0" w:after="0" w:line="205" w:lineRule="exact"/>
        <w:ind w:left="0" w:right="0" w:firstLine="0"/>
      </w:pPr>
      <w:r>
        <w:rPr>
          <w:rStyle w:val="CharStyle28"/>
          <w:spacing w:val="0"/>
        </w:rPr>
        <w:t>Умывальники фарфоровые с кронштейнами, сифоном бутылочным латунным и выпуском, полукруглые со скрытыми установочными поверхностями без спинки. Размеры умывальников приведены на рисунке и в таблице.</w:t>
      </w:r>
    </w:p>
    <w:p>
      <w:pPr>
        <w:pStyle w:val="Style9"/>
        <w:framePr w:w="1263" w:h="156" w:wrap="none" w:vAnchor="text" w:hAnchor="margin" w:x="116" w:y="883"/>
        <w:widowControl w:val="0"/>
        <w:keepNext w:val="0"/>
        <w:keepLines w:val="0"/>
        <w:shd w:val="clear" w:color="auto" w:fill="auto"/>
        <w:bidi w:val="0"/>
        <w:jc w:val="left"/>
        <w:spacing w:before="0" w:after="0" w:line="150" w:lineRule="exact"/>
        <w:ind w:left="100" w:right="0" w:firstLine="0"/>
      </w:pPr>
      <w:r>
        <w:rPr>
          <w:rStyle w:val="CharStyle28"/>
          <w:spacing w:val="0"/>
        </w:rPr>
        <w:t>Умывальники</w:t>
      </w:r>
    </w:p>
    <w:p>
      <w:pPr>
        <w:pStyle w:val="Style9"/>
        <w:framePr w:w="802" w:h="160" w:wrap="none" w:vAnchor="text" w:hAnchor="margin" w:x="8371" w:y="883"/>
        <w:widowControl w:val="0"/>
        <w:keepNext w:val="0"/>
        <w:keepLines w:val="0"/>
        <w:shd w:val="clear" w:color="auto" w:fill="auto"/>
        <w:bidi w:val="0"/>
        <w:jc w:val="left"/>
        <w:spacing w:before="0" w:after="0" w:line="150" w:lineRule="exact"/>
        <w:ind w:left="100" w:right="0" w:firstLine="0"/>
      </w:pPr>
      <w:r>
        <w:rPr>
          <w:rStyle w:val="CharStyle28"/>
          <w:lang w:val="en-US" w:eastAsia="en-US" w:bidi="en-US"/>
          <w:spacing w:val="0"/>
        </w:rPr>
        <w:t>Cersanit</w:t>
      </w:r>
    </w:p>
    <w:p>
      <w:pPr>
        <w:pStyle w:val="Style35"/>
        <w:framePr w:w="1134" w:h="361" w:wrap="none" w:vAnchor="text" w:hAnchor="margin" w:x="6254" w:y="888"/>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Республика</w:t>
      </w:r>
    </w:p>
    <w:p>
      <w:pPr>
        <w:pStyle w:val="Style35"/>
        <w:framePr w:w="1134" w:h="361" w:wrap="none" w:vAnchor="text" w:hAnchor="margin" w:x="6254" w:y="888"/>
        <w:widowControl w:val="0"/>
        <w:keepNext w:val="0"/>
        <w:keepLines w:val="0"/>
        <w:shd w:val="clear" w:color="auto" w:fill="auto"/>
        <w:bidi w:val="0"/>
        <w:jc w:val="left"/>
        <w:spacing w:before="0" w:after="0" w:line="160" w:lineRule="exact"/>
        <w:ind w:left="240" w:right="0" w:firstLine="0"/>
      </w:pPr>
      <w:r>
        <w:rPr>
          <w:lang w:val="ru-RU" w:eastAsia="ru-RU" w:bidi="ru-RU"/>
          <w:w w:val="100"/>
          <w:spacing w:val="0"/>
          <w:color w:val="000000"/>
          <w:position w:val="0"/>
        </w:rPr>
        <w:t>Польша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0" w:lineRule="exact"/>
      </w:pPr>
    </w:p>
    <w:p>
      <w:pPr>
        <w:widowControl w:val="0"/>
        <w:rPr>
          <w:sz w:val="2"/>
          <w:szCs w:val="2"/>
        </w:rPr>
        <w:sectPr>
          <w:type w:val="continuous"/>
          <w:pgSz w:w="11906" w:h="16838"/>
          <w:pgMar w:top="810" w:left="819" w:right="819" w:bottom="810" w:header="0" w:footer="3" w:gutter="0"/>
          <w:rtlGutter w:val="0"/>
          <w:cols w:space="720"/>
          <w:noEndnote/>
          <w:docGrid w:linePitch="360"/>
        </w:sectPr>
      </w:pPr>
    </w:p>
    <w:tbl>
      <w:tblPr>
        <w:tblOverlap w:val="never"/>
        <w:tblLayout w:type="fixed"/>
        <w:jc w:val="center"/>
      </w:tblPr>
      <w:tblGrid>
        <w:gridCol w:w="1116"/>
        <w:gridCol w:w="1102"/>
        <w:gridCol w:w="1116"/>
        <w:gridCol w:w="1123"/>
      </w:tblGrid>
      <w:tr>
        <w:trPr>
          <w:trHeight w:val="223" w:hRule="exact"/>
        </w:trPr>
        <w:tc>
          <w:tcPr>
            <w:shd w:val="clear" w:color="auto" w:fill="FFFFFF"/>
            <w:tcBorders>
              <w:left w:val="single" w:sz="4"/>
              <w:top w:val="single" w:sz="4"/>
            </w:tcBorders>
            <w:vAlign w:val="bottom"/>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lang w:val="en-US" w:eastAsia="en-US" w:bidi="en-US"/>
              </w:rPr>
              <w:t>L</w:t>
            </w:r>
          </w:p>
        </w:tc>
        <w:tc>
          <w:tcPr>
            <w:shd w:val="clear" w:color="auto" w:fill="FFFFFF"/>
            <w:tcBorders>
              <w:left w:val="single" w:sz="4"/>
              <w:top w:val="single" w:sz="4"/>
            </w:tcBorders>
            <w:vAlign w:val="bottom"/>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В</w:t>
            </w:r>
          </w:p>
        </w:tc>
        <w:tc>
          <w:tcPr>
            <w:shd w:val="clear" w:color="auto" w:fill="FFFFFF"/>
            <w:tcBorders>
              <w:left w:val="single" w:sz="4"/>
              <w:top w:val="single" w:sz="4"/>
            </w:tcBorders>
            <w:vAlign w:val="bottom"/>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Н</w:t>
            </w:r>
          </w:p>
        </w:tc>
        <w:tc>
          <w:tcPr>
            <w:shd w:val="clear" w:color="auto" w:fill="FFFFFF"/>
            <w:tcBorders>
              <w:left w:val="single" w:sz="4"/>
              <w:right w:val="single" w:sz="4"/>
              <w:top w:val="single" w:sz="4"/>
            </w:tcBorders>
            <w:vAlign w:val="bottom"/>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w:t>
            </w:r>
          </w:p>
        </w:tc>
      </w:tr>
      <w:tr>
        <w:trPr>
          <w:trHeight w:val="238" w:hRule="exact"/>
        </w:trPr>
        <w:tc>
          <w:tcPr>
            <w:shd w:val="clear" w:color="auto" w:fill="FFFFFF"/>
            <w:tcBorders>
              <w:left w:val="single" w:sz="4"/>
              <w:top w:val="single" w:sz="4"/>
              <w:bottom w:val="single" w:sz="4"/>
            </w:tcBorders>
            <w:vAlign w:val="top"/>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550</w:t>
            </w:r>
          </w:p>
        </w:tc>
        <w:tc>
          <w:tcPr>
            <w:shd w:val="clear" w:color="auto" w:fill="FFFFFF"/>
            <w:tcBorders>
              <w:left w:val="single" w:sz="4"/>
              <w:top w:val="single" w:sz="4"/>
              <w:bottom w:val="single" w:sz="4"/>
            </w:tcBorders>
            <w:vAlign w:val="top"/>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480</w:t>
            </w:r>
          </w:p>
        </w:tc>
        <w:tc>
          <w:tcPr>
            <w:shd w:val="clear" w:color="auto" w:fill="FFFFFF"/>
            <w:tcBorders>
              <w:left w:val="single" w:sz="4"/>
              <w:top w:val="single" w:sz="4"/>
              <w:bottom w:val="single" w:sz="4"/>
            </w:tcBorders>
            <w:vAlign w:val="top"/>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150</w:t>
            </w:r>
          </w:p>
        </w:tc>
        <w:tc>
          <w:tcPr>
            <w:shd w:val="clear" w:color="auto" w:fill="FFFFFF"/>
            <w:tcBorders>
              <w:left w:val="single" w:sz="4"/>
              <w:right w:val="single" w:sz="4"/>
              <w:top w:val="single" w:sz="4"/>
              <w:bottom w:val="single" w:sz="4"/>
            </w:tcBorders>
            <w:vAlign w:val="bottom"/>
          </w:tcPr>
          <w:p>
            <w:pPr>
              <w:pStyle w:val="Style19"/>
              <w:framePr w:w="4457" w:hSpace="14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34"/>
              </w:rPr>
              <w:t>200</w:t>
            </w:r>
          </w:p>
        </w:tc>
      </w:tr>
    </w:tbl>
    <w:p>
      <w:pPr>
        <w:widowControl w:val="0"/>
        <w:rPr>
          <w:sz w:val="2"/>
          <w:szCs w:val="2"/>
        </w:rPr>
      </w:pPr>
    </w:p>
    <w:p>
      <w:pPr>
        <w:pStyle w:val="Style19"/>
        <w:widowControl w:val="0"/>
        <w:keepNext w:val="0"/>
        <w:keepLines w:val="0"/>
        <w:shd w:val="clear" w:color="auto" w:fill="auto"/>
        <w:bidi w:val="0"/>
        <w:spacing w:before="207" w:after="0" w:line="324" w:lineRule="exact"/>
        <w:ind w:left="0" w:right="0" w:firstLine="700"/>
        <w:sectPr>
          <w:type w:val="continuous"/>
          <w:pgSz w:w="11906" w:h="16838"/>
          <w:pgMar w:top="566" w:left="1001" w:right="997" w:bottom="1182" w:header="0" w:footer="3" w:gutter="0"/>
          <w:rtlGutter w:val="0"/>
          <w:cols w:space="720"/>
          <w:noEndnote/>
          <w:docGrid w:linePitch="360"/>
        </w:sectPr>
      </w:pPr>
      <w:r>
        <w:rPr>
          <w:lang w:val="ru-RU" w:eastAsia="ru-RU" w:bidi="ru-RU"/>
          <w:w w:val="100"/>
          <w:spacing w:val="0"/>
          <w:color w:val="000000"/>
          <w:position w:val="0"/>
        </w:rPr>
        <w:t>Таким образом, ООО «Сармат» сделано предложение о характеристике товара «умывальники» без указания единицы измерения, ввиду чего в действиях комиссии Заказчика при отказе в допуске к участию в аукционе участнику закупки с порядковым номером 13 отсутствуют нарушения положений Закона.</w:t>
      </w:r>
    </w:p>
    <w:p>
      <w:pPr>
        <w:pStyle w:val="Style19"/>
        <w:widowControl w:val="0"/>
        <w:keepNext w:val="0"/>
        <w:keepLines w:val="0"/>
        <w:shd w:val="clear" w:color="auto" w:fill="auto"/>
        <w:bidi w:val="0"/>
        <w:jc w:val="left"/>
        <w:spacing w:before="0" w:after="0" w:line="320" w:lineRule="exact"/>
        <w:ind w:left="40" w:right="220" w:firstLine="760"/>
      </w:pPr>
      <w:r>
        <w:rPr>
          <w:lang w:val="ru-RU" w:eastAsia="ru-RU" w:bidi="ru-RU"/>
          <w:w w:val="100"/>
          <w:spacing w:val="0"/>
          <w:color w:val="000000"/>
          <w:position w:val="0"/>
        </w:rPr>
        <w:t>По итогам рассмотрения жалоба ООО «Сармат» признана Комиссией Ростовского У ФАС России необоснованной.</w:t>
      </w:r>
    </w:p>
    <w:p>
      <w:pPr>
        <w:pStyle w:val="Style19"/>
        <w:widowControl w:val="0"/>
        <w:keepNext w:val="0"/>
        <w:keepLines w:val="0"/>
        <w:shd w:val="clear" w:color="auto" w:fill="auto"/>
        <w:bidi w:val="0"/>
        <w:jc w:val="left"/>
        <w:spacing w:before="0" w:after="312" w:line="320" w:lineRule="exact"/>
        <w:ind w:left="40" w:right="220" w:firstLine="76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6"/>
        <w:widowControl w:val="0"/>
        <w:keepNext w:val="0"/>
        <w:keepLines w:val="0"/>
        <w:shd w:val="clear" w:color="auto" w:fill="auto"/>
        <w:bidi w:val="0"/>
        <w:spacing w:before="0" w:after="359" w:line="230" w:lineRule="exact"/>
        <w:ind w:left="120" w:right="0" w:firstLine="0"/>
      </w:pPr>
      <w:r>
        <w:rPr>
          <w:lang w:val="ru-RU" w:eastAsia="ru-RU" w:bidi="ru-RU"/>
          <w:w w:val="100"/>
          <w:spacing w:val="0"/>
          <w:color w:val="000000"/>
          <w:position w:val="0"/>
        </w:rPr>
        <w:t>РЕШИЛА:</w:t>
      </w:r>
    </w:p>
    <w:p>
      <w:pPr>
        <w:pStyle w:val="Style19"/>
        <w:widowControl w:val="0"/>
        <w:keepNext w:val="0"/>
        <w:keepLines w:val="0"/>
        <w:shd w:val="clear" w:color="auto" w:fill="auto"/>
        <w:bidi w:val="0"/>
        <w:jc w:val="left"/>
        <w:spacing w:before="0" w:after="963" w:line="230" w:lineRule="exact"/>
        <w:ind w:left="40" w:right="0" w:firstLine="760"/>
      </w:pPr>
      <w:r>
        <w:rPr>
          <w:lang w:val="ru-RU" w:eastAsia="ru-RU" w:bidi="ru-RU"/>
          <w:w w:val="100"/>
          <w:spacing w:val="0"/>
          <w:color w:val="000000"/>
          <w:position w:val="0"/>
        </w:rPr>
        <w:t>1. Признать жалобу ООО «Сармат» необоснованной.</w:t>
      </w:r>
    </w:p>
    <w:p>
      <w:pPr>
        <w:pStyle w:val="Style19"/>
        <w:widowControl w:val="0"/>
        <w:keepNext w:val="0"/>
        <w:keepLines w:val="0"/>
        <w:shd w:val="clear" w:color="auto" w:fill="auto"/>
        <w:bidi w:val="0"/>
        <w:jc w:val="left"/>
        <w:spacing w:before="0" w:after="839" w:line="230" w:lineRule="exact"/>
        <w:ind w:left="4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475" w:line="230" w:lineRule="exact"/>
        <w:ind w:left="40" w:right="220" w:firstLine="76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38"/>
        <w:widowControl w:val="0"/>
        <w:keepNext w:val="0"/>
        <w:keepLines w:val="0"/>
        <w:shd w:val="clear" w:color="auto" w:fill="auto"/>
        <w:bidi w:val="0"/>
        <w:jc w:val="left"/>
        <w:spacing w:before="0" w:after="0"/>
        <w:ind w:left="40" w:right="3100" w:firstLine="0"/>
      </w:pPr>
      <w:r>
        <w:rPr>
          <w:lang w:val="ru-RU" w:eastAsia="ru-RU" w:bidi="ru-RU"/>
          <w:w w:val="100"/>
          <w:spacing w:val="0"/>
          <w:color w:val="000000"/>
          <w:position w:val="0"/>
        </w:rPr>
        <w:t xml:space="preserve">Исп. Черняк Е.А. тел.: (863)240-86-88 </w:t>
      </w:r>
      <w:r>
        <w:fldChar w:fldCharType="begin"/>
      </w:r>
      <w:r>
        <w:rPr>
          <w:color w:val="000000"/>
        </w:rPr>
        <w:instrText> HYPERLINK "mailto:to61-chernyak@fas.gov.ru" </w:instrText>
      </w:r>
      <w:r>
        <w:fldChar w:fldCharType="separate"/>
      </w:r>
      <w:r>
        <w:rPr>
          <w:rStyle w:val="Hyperlink"/>
          <w:lang w:val="en-US" w:eastAsia="en-US" w:bidi="en-US"/>
          <w:w w:val="100"/>
          <w:spacing w:val="0"/>
          <w:position w:val="0"/>
        </w:rPr>
        <w:t>to61-chernyak@fas.gov.ru</w:t>
      </w:r>
      <w:r>
        <w:fldChar w:fldCharType="end"/>
      </w:r>
      <w:r>
        <w:br w:type="page"/>
      </w:r>
    </w:p>
    <w:sectPr>
      <w:pgSz w:w="11906" w:h="16838"/>
      <w:pgMar w:top="643" w:left="863" w:right="841" w:bottom="75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26"/>
      <w:szCs w:val="26"/>
      <w:rFonts w:ascii="Arial Narrow" w:eastAsia="Arial Narrow" w:hAnsi="Arial Narrow" w:cs="Arial Narrow"/>
    </w:rPr>
  </w:style>
  <w:style w:type="character" w:customStyle="1" w:styleId="CharStyle14">
    <w:name w:val="Заголовок №1 + 12 pt,Не курсив"/>
    <w:basedOn w:val="CharStyle13"/>
    <w:rPr>
      <w:lang w:val="ru-RU" w:eastAsia="ru-RU" w:bidi="ru-RU"/>
      <w:i/>
      <w:iCs/>
      <w:u w:val="single"/>
      <w:sz w:val="24"/>
      <w:szCs w:val="24"/>
      <w:w w:val="100"/>
      <w:spacing w:val="0"/>
      <w:color w:val="000000"/>
      <w:position w:val="0"/>
    </w:rPr>
  </w:style>
  <w:style w:type="character" w:customStyle="1" w:styleId="CharStyle15">
    <w:name w:val="Заголовок №1 + Интервал -1 pt"/>
    <w:basedOn w:val="CharStyle13"/>
    <w:rPr>
      <w:lang w:val="ru-RU" w:eastAsia="ru-RU" w:bidi="ru-RU"/>
      <w:u w:val="single"/>
      <w:w w:val="100"/>
      <w:spacing w:val="-30"/>
      <w:color w:val="000000"/>
      <w:position w:val="0"/>
    </w:rPr>
  </w:style>
  <w:style w:type="character" w:customStyle="1" w:styleId="CharStyle16">
    <w:name w:val="Заголовок №1 + 12 pt,Не курсив"/>
    <w:basedOn w:val="CharStyle13"/>
    <w:rPr>
      <w:lang w:val="ru-RU" w:eastAsia="ru-RU" w:bidi="ru-RU"/>
      <w:i/>
      <w:iCs/>
      <w:sz w:val="24"/>
      <w:szCs w:val="24"/>
      <w:w w:val="100"/>
      <w:spacing w:val="0"/>
      <w:color w:val="000000"/>
      <w:position w:val="0"/>
    </w:rPr>
  </w:style>
  <w:style w:type="character" w:customStyle="1" w:styleId="CharStyle17">
    <w:name w:val="Заголовок №1 + 12 pt,Не курсив"/>
    <w:basedOn w:val="CharStyle13"/>
    <w:rPr>
      <w:lang w:val="ru-RU" w:eastAsia="ru-RU" w:bidi="ru-RU"/>
      <w:i/>
      <w:iCs/>
      <w:sz w:val="24"/>
      <w:szCs w:val="24"/>
      <w:w w:val="100"/>
      <w:spacing w:val="0"/>
      <w:color w:val="000000"/>
      <w:position w:val="0"/>
    </w:rPr>
  </w:style>
  <w:style w:type="character" w:customStyle="1" w:styleId="CharStyle18">
    <w:name w:val="Заголовок №1"/>
    <w:basedOn w:val="CharStyle13"/>
    <w:rPr>
      <w:lang w:val="en-US" w:eastAsia="en-US" w:bidi="en-US"/>
      <w:u w:val="single"/>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2">
    <w:name w:val="Основной текст"/>
    <w:basedOn w:val="CharStyle20"/>
    <w:rPr>
      <w:lang w:val="1024"/>
      <w:w w:val="100"/>
      <w:spacing w:val="0"/>
      <w:color w:val="000000"/>
      <w:position w:val="0"/>
    </w:rPr>
  </w:style>
  <w:style w:type="character" w:customStyle="1" w:styleId="CharStyle24">
    <w:name w:val="Основной текст (5)_"/>
    <w:basedOn w:val="DefaultParagraphFont"/>
    <w:link w:val="Style23"/>
    <w:rPr>
      <w:b w:val="0"/>
      <w:bCs w:val="0"/>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5) + Курсив"/>
    <w:basedOn w:val="CharStyle24"/>
    <w:rPr>
      <w:lang w:val="en-US" w:eastAsia="en-US" w:bidi="en-US"/>
      <w:i/>
      <w:iCs/>
      <w:w w:val="100"/>
      <w:spacing w:val="0"/>
      <w:color w:val="000000"/>
      <w:position w:val="0"/>
    </w:rPr>
  </w:style>
  <w:style w:type="character" w:customStyle="1" w:styleId="CharStyle27">
    <w:name w:val="Основной текст (6) Exact"/>
    <w:basedOn w:val="DefaultParagraphFont"/>
    <w:link w:val="Style26"/>
    <w:rPr>
      <w:b w:val="0"/>
      <w:bCs w:val="0"/>
      <w:i w:val="0"/>
      <w:iCs w:val="0"/>
      <w:u w:val="none"/>
      <w:strike w:val="0"/>
      <w:smallCaps w:val="0"/>
      <w:sz w:val="34"/>
      <w:szCs w:val="34"/>
      <w:rFonts w:ascii="Times New Roman" w:eastAsia="Times New Roman" w:hAnsi="Times New Roman" w:cs="Times New Roman"/>
      <w:spacing w:val="-6"/>
    </w:rPr>
  </w:style>
  <w:style w:type="character" w:customStyle="1" w:styleId="CharStyle28">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29">
    <w:name w:val="Основной текст + Интервал 1 pt"/>
    <w:basedOn w:val="CharStyle20"/>
    <w:rPr>
      <w:lang w:val="ru-RU" w:eastAsia="ru-RU" w:bidi="ru-RU"/>
      <w:w w:val="100"/>
      <w:spacing w:val="20"/>
      <w:color w:val="000000"/>
      <w:position w:val="0"/>
    </w:rPr>
  </w:style>
  <w:style w:type="character" w:customStyle="1" w:styleId="CharStyle31">
    <w:name w:val="Основной текст (7)_"/>
    <w:basedOn w:val="DefaultParagraphFont"/>
    <w:link w:val="Style30"/>
    <w:rPr>
      <w:b w:val="0"/>
      <w:bCs w:val="0"/>
      <w:i/>
      <w:iCs/>
      <w:u w:val="none"/>
      <w:strike w:val="0"/>
      <w:smallCaps w:val="0"/>
      <w:sz w:val="23"/>
      <w:szCs w:val="23"/>
      <w:rFonts w:ascii="Times New Roman" w:eastAsia="Times New Roman" w:hAnsi="Times New Roman" w:cs="Times New Roman"/>
    </w:rPr>
  </w:style>
  <w:style w:type="character" w:customStyle="1" w:styleId="CharStyle32">
    <w:name w:val="Основной текст (7) + Не курсив"/>
    <w:basedOn w:val="CharStyle31"/>
    <w:rPr>
      <w:lang w:val="ru-RU" w:eastAsia="ru-RU" w:bidi="ru-RU"/>
      <w:i/>
      <w:iCs/>
      <w:w w:val="100"/>
      <w:spacing w:val="0"/>
      <w:color w:val="000000"/>
      <w:position w:val="0"/>
    </w:rPr>
  </w:style>
  <w:style w:type="character" w:customStyle="1" w:styleId="CharStyle33">
    <w:name w:val="Основной текст + 8,5 pt,Курсив"/>
    <w:basedOn w:val="CharStyle20"/>
    <w:rPr>
      <w:lang w:val="ru-RU" w:eastAsia="ru-RU" w:bidi="ru-RU"/>
      <w:i/>
      <w:iCs/>
      <w:sz w:val="17"/>
      <w:szCs w:val="17"/>
      <w:w w:val="100"/>
      <w:spacing w:val="0"/>
      <w:color w:val="000000"/>
      <w:position w:val="0"/>
    </w:rPr>
  </w:style>
  <w:style w:type="character" w:customStyle="1" w:styleId="CharStyle34">
    <w:name w:val="Основной текст + 8,5 pt"/>
    <w:basedOn w:val="CharStyle20"/>
    <w:rPr>
      <w:lang w:val="ru-RU" w:eastAsia="ru-RU" w:bidi="ru-RU"/>
      <w:sz w:val="17"/>
      <w:szCs w:val="17"/>
      <w:w w:val="100"/>
      <w:spacing w:val="0"/>
      <w:color w:val="000000"/>
      <w:position w:val="0"/>
    </w:rPr>
  </w:style>
  <w:style w:type="character" w:customStyle="1" w:styleId="CharStyle36">
    <w:name w:val="Основной текст (8) Exact"/>
    <w:basedOn w:val="DefaultParagraphFont"/>
    <w:link w:val="Style35"/>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37">
    <w:name w:val="Основной текст (8) Exact"/>
    <w:basedOn w:val="CharStyle36"/>
    <w:rPr>
      <w:lang w:val="ru-RU" w:eastAsia="ru-RU" w:bidi="ru-RU"/>
      <w:u w:val="single"/>
      <w:w w:val="100"/>
      <w:color w:val="000000"/>
      <w:position w:val="0"/>
    </w:rPr>
  </w:style>
  <w:style w:type="character" w:customStyle="1" w:styleId="CharStyle39">
    <w:name w:val="Основной текст (9)_"/>
    <w:basedOn w:val="DefaultParagraphFont"/>
    <w:link w:val="Style38"/>
    <w:rPr>
      <w:b w:val="0"/>
      <w:bCs w:val="0"/>
      <w:i/>
      <w:iCs/>
      <w:u w:val="none"/>
      <w:strike w:val="0"/>
      <w:smallCaps w:val="0"/>
      <w:sz w:val="13"/>
      <w:szCs w:val="1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after="300" w:line="0" w:lineRule="exact"/>
    </w:pPr>
    <w:rPr>
      <w:b w:val="0"/>
      <w:bCs w:val="0"/>
      <w:i/>
      <w:iCs/>
      <w:u w:val="none"/>
      <w:strike w:val="0"/>
      <w:smallCaps w:val="0"/>
      <w:sz w:val="26"/>
      <w:szCs w:val="26"/>
      <w:rFonts w:ascii="Arial Narrow" w:eastAsia="Arial Narrow" w:hAnsi="Arial Narrow" w:cs="Arial Narrow"/>
    </w:rPr>
  </w:style>
  <w:style w:type="paragraph" w:customStyle="1" w:styleId="Style19">
    <w:name w:val="Основной текст"/>
    <w:basedOn w:val="Normal"/>
    <w:link w:val="CharStyle20"/>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before="60"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6"/>
    </w:rPr>
  </w:style>
  <w:style w:type="paragraph" w:customStyle="1" w:styleId="Style30">
    <w:name w:val="Основной текст (7)"/>
    <w:basedOn w:val="Normal"/>
    <w:link w:val="CharStyle31"/>
    <w:pPr>
      <w:widowControl w:val="0"/>
      <w:shd w:val="clear" w:color="auto" w:fill="FFFFFF"/>
      <w:jc w:val="both"/>
      <w:spacing w:line="317"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jc w:val="center"/>
      <w:spacing w:line="205" w:lineRule="exact"/>
    </w:pPr>
    <w:rPr>
      <w:b w:val="0"/>
      <w:bCs w:val="0"/>
      <w:i w:val="0"/>
      <w:iCs w:val="0"/>
      <w:u w:val="none"/>
      <w:strike w:val="0"/>
      <w:smallCaps w:val="0"/>
      <w:sz w:val="16"/>
      <w:szCs w:val="16"/>
      <w:rFonts w:ascii="Times New Roman" w:eastAsia="Times New Roman" w:hAnsi="Times New Roman" w:cs="Times New Roman"/>
      <w:spacing w:val="8"/>
    </w:rPr>
  </w:style>
  <w:style w:type="paragraph" w:customStyle="1" w:styleId="Style38">
    <w:name w:val="Основной текст (9)"/>
    <w:basedOn w:val="Normal"/>
    <w:link w:val="CharStyle39"/>
    <w:pPr>
      <w:widowControl w:val="0"/>
      <w:shd w:val="clear" w:color="auto" w:fill="FFFFFF"/>
      <w:spacing w:before="420" w:line="162" w:lineRule="exact"/>
    </w:pPr>
    <w:rPr>
      <w:b w:val="0"/>
      <w:bCs w:val="0"/>
      <w:i/>
      <w:iCs/>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