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0" w:wrap="around" w:vAnchor="text" w:hAnchor="margin" w:x="1876" w:y="4364"/>
        <w:widowControl w:val="0"/>
        <w:keepNext w:val="0"/>
        <w:keepLines w:val="0"/>
        <w:shd w:val="clear" w:color="auto" w:fill="auto"/>
        <w:bidi w:val="0"/>
        <w:jc w:val="left"/>
        <w:spacing w:before="0" w:after="0" w:line="18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67" w:after="93"/>
        <w:ind w:left="0" w:right="0" w:firstLine="0"/>
      </w:pPr>
      <w:r>
        <w:rPr>
          <w:rStyle w:val="CharStyle7"/>
          <w:b/>
          <w:bCs/>
        </w:rPr>
        <w:t>ФЕДЕРАЛЬНАЯ АНТИМОНОПОЛЬНАЯ СЛУЖБА</w:t>
      </w:r>
    </w:p>
    <w:p>
      <w:pPr>
        <w:pStyle w:val="Style5"/>
        <w:widowControl w:val="0"/>
        <w:keepNext w:val="0"/>
        <w:keepLines w:val="0"/>
        <w:shd w:val="clear" w:color="auto" w:fill="auto"/>
        <w:bidi w:val="0"/>
        <w:spacing w:before="0" w:after="232" w:line="317" w:lineRule="exact"/>
        <w:ind w:left="0" w:right="0" w:firstLine="0"/>
      </w:pPr>
      <w:r>
        <w:rPr>
          <w:rStyle w:val="CharStyle7"/>
          <w:b/>
          <w:bCs/>
        </w:rPr>
        <w:t>УПРАВЛЕНИЕ Федеральной антимонопольной службы но Пензенской области</w:t>
      </w:r>
    </w:p>
    <w:p>
      <w:pPr>
        <w:pStyle w:val="Style8"/>
        <w:widowControl w:val="0"/>
        <w:keepNext w:val="0"/>
        <w:keepLines w:val="0"/>
        <w:shd w:val="clear" w:color="auto" w:fill="auto"/>
        <w:bidi w:val="0"/>
        <w:spacing w:before="0" w:after="78"/>
        <w:ind w:left="0" w:right="0" w:firstLine="0"/>
      </w:pPr>
      <w:r>
        <w:rPr>
          <w:lang w:val="ru-RU" w:eastAsia="ru-RU" w:bidi="ru-RU"/>
          <w:w w:val="100"/>
          <w:spacing w:val="0"/>
          <w:color w:val="000000"/>
          <w:position w:val="0"/>
        </w:rPr>
        <w:t xml:space="preserve">ул. Урицкого, 127, г. Пенза, 440000 тел. </w:t>
      </w:r>
      <w:r>
        <w:rPr>
          <w:lang w:val="en-US" w:eastAsia="en-US" w:bidi="en-US"/>
          <w:w w:val="100"/>
          <w:spacing w:val="0"/>
          <w:color w:val="000000"/>
          <w:position w:val="0"/>
        </w:rPr>
        <w:t xml:space="preserve">(X4I2) </w:t>
      </w:r>
      <w:r>
        <w:rPr>
          <w:lang w:val="ru-RU" w:eastAsia="ru-RU" w:bidi="ru-RU"/>
          <w:w w:val="100"/>
          <w:spacing w:val="0"/>
          <w:color w:val="000000"/>
          <w:position w:val="0"/>
        </w:rPr>
        <w:t xml:space="preserve">55-14-02, факс (8412) 52-03-70 </w:t>
      </w:r>
      <w:r>
        <w:rPr>
          <w:lang w:val="en-US" w:eastAsia="en-US" w:bidi="en-US"/>
          <w:w w:val="100"/>
          <w:spacing w:val="0"/>
          <w:color w:val="000000"/>
          <w:position w:val="0"/>
        </w:rPr>
        <w:t>e-mail :</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10"/>
        <w:tabs>
          <w:tab w:leader="none" w:pos="2226" w:val="right"/>
          <w:tab w:leader="none" w:pos="2514" w:val="center"/>
          <w:tab w:leader="none" w:pos="3316" w:val="right"/>
          <w:tab w:leader="none" w:pos="3537" w:val="right"/>
        </w:tabs>
        <w:widowControl w:val="0"/>
        <w:keepNext w:val="0"/>
        <w:keepLines w:val="0"/>
        <w:shd w:val="clear" w:color="auto" w:fill="auto"/>
        <w:bidi w:val="0"/>
        <w:spacing w:before="0" w:after="196" w:line="230" w:lineRule="exact"/>
        <w:ind w:left="460" w:right="0" w:firstLine="0"/>
      </w:pPr>
      <w:r>
        <w:rPr>
          <w:rStyle w:val="CharStyle12"/>
        </w:rPr>
        <w:t>'/с/. //•</w:t>
        <w:tab/>
      </w:r>
      <w:r>
        <w:rPr>
          <w:lang w:val="ru-RU" w:eastAsia="ru-RU" w:bidi="ru-RU"/>
          <w:w w:val="100"/>
          <w:spacing w:val="0"/>
          <w:color w:val="000000"/>
          <w:position w:val="0"/>
        </w:rPr>
        <w:t>№</w:t>
        <w:tab/>
      </w:r>
      <w:r>
        <w:rPr>
          <w:rStyle w:val="CharStyle12"/>
          <w:lang w:val="en-US" w:eastAsia="en-US" w:bidi="en-US"/>
        </w:rPr>
        <w:t>Y</w:t>
        <w:tab/>
      </w:r>
      <w:r>
        <w:rPr>
          <w:lang w:val="ru-RU" w:eastAsia="ru-RU" w:bidi="ru-RU"/>
          <w:w w:val="100"/>
          <w:spacing w:val="0"/>
          <w:color w:val="000000"/>
          <w:position w:val="0"/>
        </w:rPr>
        <w:t>~</w:t>
        <w:tab/>
      </w:r>
      <w:r>
        <w:rPr>
          <w:rStyle w:val="CharStyle13"/>
        </w:rPr>
        <w:t>$</w:t>
      </w:r>
    </w:p>
    <w:p>
      <w:pPr>
        <w:pStyle w:val="Style3"/>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На №</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«Ортинно»</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Большая Пушкарская ул., д. 41, лит. Б., </w:t>
      </w:r>
      <w:r>
        <w:rPr>
          <w:lang w:val="en-US" w:eastAsia="en-US" w:bidi="en-US"/>
          <w:w w:val="100"/>
          <w:spacing w:val="0"/>
          <w:color w:val="000000"/>
          <w:position w:val="0"/>
        </w:rPr>
        <w:t>nov</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10-Н, г. Санкт- Петербург, 197101</w:t>
      </w:r>
    </w:p>
    <w:p>
      <w:pPr>
        <w:pStyle w:val="Style15"/>
        <w:widowControl w:val="0"/>
        <w:keepNext w:val="0"/>
        <w:keepLines w:val="0"/>
        <w:shd w:val="clear" w:color="auto" w:fill="auto"/>
        <w:bidi w:val="0"/>
        <w:jc w:val="left"/>
        <w:spacing w:before="0" w:after="0"/>
        <w:ind w:left="20" w:right="0" w:firstLine="0"/>
      </w:pPr>
      <w:r>
        <w:fldChar w:fldCharType="begin"/>
      </w:r>
      <w:r>
        <w:rPr>
          <w:rStyle w:val="CharStyle17"/>
        </w:rPr>
        <w:instrText> HYPERLINK "mailto:info@orthinno.ru" </w:instrText>
      </w:r>
      <w:r>
        <w:fldChar w:fldCharType="separate"/>
      </w:r>
      <w:r>
        <w:rPr>
          <w:rStyle w:val="Hyperlink"/>
        </w:rPr>
        <w:t>info@orthinno.ru</w:t>
      </w:r>
      <w:r>
        <w:fldChar w:fldCharType="end"/>
      </w:r>
    </w:p>
    <w:p>
      <w:pPr>
        <w:pStyle w:val="Style15"/>
        <w:widowControl w:val="0"/>
        <w:keepNext w:val="0"/>
        <w:keepLines w:val="0"/>
        <w:shd w:val="clear" w:color="auto" w:fill="auto"/>
        <w:bidi w:val="0"/>
        <w:jc w:val="left"/>
        <w:spacing w:before="0" w:after="12" w:line="230" w:lineRule="exact"/>
        <w:ind w:left="20" w:right="0" w:firstLine="0"/>
      </w:pPr>
      <w:r>
        <w:fldChar w:fldCharType="begin"/>
      </w:r>
      <w:r>
        <w:rPr>
          <w:rStyle w:val="CharStyle17"/>
        </w:rPr>
        <w:instrText> HYPERLINK "mailto:n.bokk@merkava.ru" </w:instrText>
      </w:r>
      <w:r>
        <w:fldChar w:fldCharType="separate"/>
      </w:r>
      <w:r>
        <w:rPr>
          <w:rStyle w:val="Hyperlink"/>
        </w:rPr>
        <w:t>n.bokk@merkava.ru</w:t>
      </w:r>
      <w:r>
        <w:fldChar w:fldCharType="end"/>
      </w:r>
    </w:p>
    <w:p>
      <w:pPr>
        <w:pStyle w:val="Style15"/>
        <w:widowControl w:val="0"/>
        <w:keepNext w:val="0"/>
        <w:keepLines w:val="0"/>
        <w:shd w:val="clear" w:color="auto" w:fill="auto"/>
        <w:bidi w:val="0"/>
        <w:jc w:val="left"/>
        <w:spacing w:before="0" w:after="277" w:line="230" w:lineRule="exact"/>
        <w:ind w:left="20" w:right="0" w:firstLine="0"/>
      </w:pPr>
      <w:r>
        <w:rPr>
          <w:lang w:val="ru-RU" w:eastAsia="ru-RU" w:bidi="ru-RU"/>
          <w:w w:val="100"/>
          <w:spacing w:val="0"/>
          <w:color w:val="000000"/>
          <w:position w:val="0"/>
        </w:rPr>
        <w:t>8921-910-16-40</w:t>
      </w:r>
    </w:p>
    <w:p>
      <w:pPr>
        <w:pStyle w:val="Style15"/>
        <w:widowControl w:val="0"/>
        <w:keepNext w:val="0"/>
        <w:keepLines w:val="0"/>
        <w:shd w:val="clear" w:color="auto" w:fill="auto"/>
        <w:bidi w:val="0"/>
        <w:jc w:val="left"/>
        <w:spacing w:before="0" w:after="240" w:line="293" w:lineRule="exact"/>
        <w:ind w:left="20" w:right="0" w:firstLine="0"/>
      </w:pPr>
      <w:r>
        <w:rPr>
          <w:lang w:val="ru-RU" w:eastAsia="ru-RU" w:bidi="ru-RU"/>
          <w:w w:val="100"/>
          <w:spacing w:val="0"/>
          <w:color w:val="000000"/>
          <w:position w:val="0"/>
        </w:rPr>
        <w:t xml:space="preserve">Государственный заказчик: Государственное бюджетное учреждение здравоохранения «Клиническая больница №6 им. Г.А. Захарьина» ул. Стасова, д. 7, г. Пенза, 440071 </w:t>
      </w:r>
      <w:r>
        <w:fldChar w:fldCharType="begin"/>
      </w:r>
      <w:r>
        <w:rPr>
          <w:rStyle w:val="CharStyle17"/>
        </w:rPr>
        <w:instrText> HYPERLINK "mailto:hosp6@sura.ru" </w:instrText>
      </w:r>
      <w:r>
        <w:fldChar w:fldCharType="separate"/>
      </w:r>
      <w:r>
        <w:rPr>
          <w:rStyle w:val="Hyperlink"/>
        </w:rPr>
        <w:t>hosp6@sura.ru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+7 (8412) 98-33-55</w:t>
      </w:r>
    </w:p>
    <w:p>
      <w:pPr>
        <w:pStyle w:val="Style15"/>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Уполномоченный орган:</w:t>
      </w:r>
    </w:p>
    <w:p>
      <w:pPr>
        <w:pStyle w:val="Style15"/>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Управление по регулированию контрактно) системы и закупкам Пензенской области ул. Попова, 34А, г. Пенза, Пензенская область, 440046</w:t>
      </w:r>
    </w:p>
    <w:p>
      <w:pPr>
        <w:pStyle w:val="Style15"/>
        <w:widowControl w:val="0"/>
        <w:keepNext w:val="0"/>
        <w:keepLines w:val="0"/>
        <w:shd w:val="clear" w:color="auto" w:fill="auto"/>
        <w:bidi w:val="0"/>
        <w:jc w:val="left"/>
        <w:spacing w:before="0" w:after="0" w:line="230" w:lineRule="exact"/>
        <w:ind w:left="20" w:right="0" w:firstLine="0"/>
        <w:sectPr>
          <w:footnotePr>
            <w:pos w:val="pageBottom"/>
            <w:numFmt w:val="decimal"/>
            <w:numRestart w:val="continuous"/>
          </w:footnotePr>
          <w:type w:val="continuous"/>
          <w:pgSz w:w="11906" w:h="16838"/>
          <w:pgMar w:top="192" w:left="1196" w:right="279" w:bottom="1541" w:header="0" w:footer="3" w:gutter="0"/>
          <w:rtlGutter w:val="0"/>
          <w:cols w:num="2" w:space="773"/>
          <w:noEndnote/>
          <w:docGrid w:linePitch="360"/>
        </w:sectPr>
      </w:pPr>
      <w:r>
        <w:fldChar w:fldCharType="begin"/>
      </w:r>
      <w:r>
        <w:rPr>
          <w:rStyle w:val="CharStyle17"/>
        </w:rPr>
        <w:instrText> HYPERLINK "mailto:pgz.pnz@pnzreg.ru" </w:instrText>
      </w:r>
      <w:r>
        <w:fldChar w:fldCharType="separate"/>
      </w:r>
      <w:r>
        <w:rPr>
          <w:rStyle w:val="Hyperlink"/>
        </w:rPr>
        <w:t>pgz.pnz@pnzreg.ru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+7 (8412) 68-11-96</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469" w:line="293" w:lineRule="exact"/>
        <w:ind w:left="5440" w:right="720" w:firstLine="0"/>
      </w:pPr>
      <w:r>
        <w:rPr>
          <w:lang w:val="ru-RU" w:eastAsia="ru-RU" w:bidi="ru-RU"/>
          <w:w w:val="100"/>
          <w:spacing w:val="0"/>
          <w:color w:val="000000"/>
          <w:position w:val="0"/>
        </w:rPr>
        <w:t xml:space="preserve">Оператор электронной площадки: ООО «РТС-Тендер» Долгоруковская ул., д. 38, стр. 1, г. Москва, 127006 </w:t>
      </w:r>
      <w:r>
        <w:fldChar w:fldCharType="begin"/>
      </w:r>
      <w:r>
        <w:rPr>
          <w:rStyle w:val="CharStyle17"/>
        </w:rPr>
        <w:instrText> HYPERLINK "mailto:ko@rts-tender.ru" </w:instrText>
      </w:r>
      <w:r>
        <w:fldChar w:fldCharType="separate"/>
      </w:r>
      <w:r>
        <w:rPr>
          <w:rStyle w:val="Hyperlink"/>
        </w:rPr>
        <w:t>ko@rts-tender.ru</w:t>
      </w:r>
      <w:r>
        <w:fldChar w:fldCharType="end"/>
      </w:r>
    </w:p>
    <w:p>
      <w:pPr>
        <w:pStyle w:val="Style5"/>
        <w:widowControl w:val="0"/>
        <w:keepNext w:val="0"/>
        <w:keepLines w:val="0"/>
        <w:shd w:val="clear" w:color="auto" w:fill="auto"/>
        <w:bidi w:val="0"/>
        <w:jc w:val="left"/>
        <w:spacing w:before="0" w:after="242" w:line="307" w:lineRule="exact"/>
        <w:ind w:left="1600" w:right="1620" w:firstLine="3020"/>
      </w:pPr>
      <w:r>
        <w:rPr>
          <w:lang w:val="ru-RU" w:eastAsia="ru-RU" w:bidi="ru-RU"/>
          <w:w w:val="100"/>
          <w:color w:val="000000"/>
          <w:position w:val="0"/>
        </w:rPr>
        <w:t>РЕШЕНИЕ по делу № 5-05/262-2017 о нарушении законодательства Российской Федерации о контрактной системе в сфере закупок</w:t>
      </w:r>
    </w:p>
    <w:p>
      <w:pPr>
        <w:pStyle w:val="Style15"/>
        <w:tabs>
          <w:tab w:leader="none" w:pos="6856" w:val="left"/>
        </w:tabs>
        <w:widowControl w:val="0"/>
        <w:keepNext w:val="0"/>
        <w:keepLines w:val="0"/>
        <w:shd w:val="clear" w:color="auto" w:fill="auto"/>
        <w:bidi w:val="0"/>
        <w:jc w:val="both"/>
        <w:spacing w:before="0" w:after="277" w:line="230" w:lineRule="exact"/>
        <w:ind w:left="400" w:right="0" w:firstLine="0"/>
      </w:pPr>
      <w:r>
        <w:rPr>
          <w:lang w:val="ru-RU" w:eastAsia="ru-RU" w:bidi="ru-RU"/>
          <w:w w:val="100"/>
          <w:spacing w:val="0"/>
          <w:color w:val="000000"/>
          <w:position w:val="0"/>
        </w:rPr>
        <w:t>15 ноября 2017 года</w:t>
        <w:tab/>
        <w:t>г. Пенза, ул. Урицкого, 127</w:t>
      </w:r>
    </w:p>
    <w:p>
      <w:pPr>
        <w:pStyle w:val="Style15"/>
        <w:widowControl w:val="0"/>
        <w:keepNext w:val="0"/>
        <w:keepLines w:val="0"/>
        <w:shd w:val="clear" w:color="auto" w:fill="auto"/>
        <w:bidi w:val="0"/>
        <w:jc w:val="left"/>
        <w:spacing w:before="0" w:after="0" w:line="293" w:lineRule="exact"/>
        <w:ind w:left="0" w:right="20" w:firstLine="720"/>
      </w:pPr>
      <w:r>
        <w:rPr>
          <w:lang w:val="ru-RU" w:eastAsia="ru-RU" w:bidi="ru-RU"/>
          <w:w w:val="100"/>
          <w:spacing w:val="0"/>
          <w:color w:val="000000"/>
          <w:position w:val="0"/>
        </w:rPr>
        <w:t>Комиссия Пензенского У ФАС России по контролю в сфере закупок (далее - Комиссия Управления) в составе:</w:t>
      </w:r>
    </w:p>
    <w:p>
      <w:pPr>
        <w:pStyle w:val="Style15"/>
        <w:numPr>
          <w:ilvl w:val="0"/>
          <w:numId w:val="1"/>
        </w:numPr>
        <w:widowControl w:val="0"/>
        <w:keepNext w:val="0"/>
        <w:keepLines w:val="0"/>
        <w:shd w:val="clear" w:color="auto" w:fill="auto"/>
        <w:bidi w:val="0"/>
        <w:jc w:val="left"/>
        <w:spacing w:before="0" w:after="0" w:line="293" w:lineRule="exact"/>
        <w:ind w:left="1080" w:right="20"/>
      </w:pPr>
      <w:r>
        <w:rPr>
          <w:lang w:val="ru-RU" w:eastAsia="ru-RU" w:bidi="ru-RU"/>
          <w:w w:val="100"/>
          <w:spacing w:val="0"/>
          <w:color w:val="000000"/>
          <w:position w:val="0"/>
        </w:rPr>
        <w:t xml:space="preserve"> Демидовой Е.Н. - заместителя руководителя Управления, председателя Комиссии Управления,</w:t>
      </w:r>
    </w:p>
    <w:p>
      <w:pPr>
        <w:pStyle w:val="Style15"/>
        <w:numPr>
          <w:ilvl w:val="0"/>
          <w:numId w:val="1"/>
        </w:numPr>
        <w:widowControl w:val="0"/>
        <w:keepNext w:val="0"/>
        <w:keepLines w:val="0"/>
        <w:shd w:val="clear" w:color="auto" w:fill="auto"/>
        <w:bidi w:val="0"/>
        <w:jc w:val="left"/>
        <w:spacing w:before="0" w:after="0" w:line="264" w:lineRule="exact"/>
        <w:ind w:left="1080" w:right="20"/>
      </w:pPr>
      <w:r>
        <w:rPr>
          <w:lang w:val="ru-RU" w:eastAsia="ru-RU" w:bidi="ru-RU"/>
          <w:w w:val="100"/>
          <w:spacing w:val="0"/>
          <w:color w:val="000000"/>
          <w:position w:val="0"/>
        </w:rPr>
        <w:t xml:space="preserve"> Козлова А.А. - начальника отдела контроля закупок, члена комиссии Управления,</w:t>
      </w:r>
    </w:p>
    <w:p>
      <w:pPr>
        <w:pStyle w:val="Style15"/>
        <w:numPr>
          <w:ilvl w:val="0"/>
          <w:numId w:val="1"/>
        </w:numPr>
        <w:widowControl w:val="0"/>
        <w:keepNext w:val="0"/>
        <w:keepLines w:val="0"/>
        <w:shd w:val="clear" w:color="auto" w:fill="auto"/>
        <w:bidi w:val="0"/>
        <w:jc w:val="left"/>
        <w:spacing w:before="0" w:after="0" w:line="283" w:lineRule="exact"/>
        <w:ind w:left="1080" w:right="20"/>
      </w:pPr>
      <w:r>
        <w:rPr>
          <w:lang w:val="ru-RU" w:eastAsia="ru-RU" w:bidi="ru-RU"/>
          <w:w w:val="100"/>
          <w:spacing w:val="0"/>
          <w:color w:val="000000"/>
          <w:position w:val="0"/>
        </w:rPr>
        <w:t xml:space="preserve"> Хохловой М.В. - ведущего специалиста-эксперта отдела контроля закупок, члена комиссии Управления,</w:t>
      </w:r>
    </w:p>
    <w:p>
      <w:pPr>
        <w:pStyle w:val="Style15"/>
        <w:widowControl w:val="0"/>
        <w:keepNext w:val="0"/>
        <w:keepLines w:val="0"/>
        <w:shd w:val="clear" w:color="auto" w:fill="auto"/>
        <w:bidi w:val="0"/>
        <w:jc w:val="left"/>
        <w:spacing w:before="0" w:after="0" w:line="283" w:lineRule="exact"/>
        <w:ind w:left="0" w:right="0" w:firstLine="720"/>
      </w:pPr>
      <w:r>
        <w:rPr>
          <w:lang w:val="ru-RU" w:eastAsia="ru-RU" w:bidi="ru-RU"/>
          <w:w w:val="100"/>
          <w:spacing w:val="0"/>
          <w:color w:val="000000"/>
          <w:position w:val="0"/>
        </w:rPr>
        <w:t>при участии:</w:t>
      </w:r>
    </w:p>
    <w:p>
      <w:pPr>
        <w:pStyle w:val="Style15"/>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со стороны заказчика - Государственного бюджетного учреждения здравоохранения «Клиническая больница №6 им. Г'.А. Захарьина»:</w:t>
      </w:r>
    </w:p>
    <w:p>
      <w:pPr>
        <w:pStyle w:val="Style15"/>
        <w:numPr>
          <w:ilvl w:val="0"/>
          <w:numId w:val="1"/>
        </w:numPr>
        <w:widowControl w:val="0"/>
        <w:keepNext w:val="0"/>
        <w:keepLines w:val="0"/>
        <w:shd w:val="clear" w:color="auto" w:fill="auto"/>
        <w:bidi w:val="0"/>
        <w:jc w:val="left"/>
        <w:spacing w:before="0" w:after="0"/>
        <w:ind w:left="0" w:right="0" w:firstLine="720"/>
      </w:pPr>
      <w:r>
        <w:rPr>
          <w:lang w:val="ru-RU" w:eastAsia="ru-RU" w:bidi="ru-RU"/>
          <w:w w:val="100"/>
          <w:spacing w:val="0"/>
          <w:color w:val="000000"/>
          <w:position w:val="0"/>
        </w:rPr>
        <w:t xml:space="preserve"> Петрова А.Ю. - представителя по доверенности от 09.11.2017 б/н;</w:t>
      </w:r>
      <w:r>
        <w:br w:type="page"/>
      </w:r>
    </w:p>
    <w:p>
      <w:pPr>
        <w:pStyle w:val="Style15"/>
        <w:numPr>
          <w:ilvl w:val="0"/>
          <w:numId w:val="1"/>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Миронова </w:t>
      </w:r>
      <w:r>
        <w:rPr>
          <w:lang w:val="en-US" w:eastAsia="en-US" w:bidi="en-US"/>
          <w:w w:val="100"/>
          <w:spacing w:val="0"/>
          <w:color w:val="000000"/>
          <w:position w:val="0"/>
        </w:rPr>
        <w:t xml:space="preserve">B.C. </w:t>
      </w:r>
      <w:r>
        <w:rPr>
          <w:lang w:val="ru-RU" w:eastAsia="ru-RU" w:bidi="ru-RU"/>
          <w:w w:val="100"/>
          <w:spacing w:val="0"/>
          <w:color w:val="000000"/>
          <w:position w:val="0"/>
        </w:rPr>
        <w:t>- представителя по доверенности от 09.11.2017 б/н,</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 стороны уполномоченного органа - Управления по регулированию контрактной системы и закупкам Пензенской области:</w:t>
      </w:r>
    </w:p>
    <w:p>
      <w:pPr>
        <w:pStyle w:val="Style15"/>
        <w:numPr>
          <w:ilvl w:val="0"/>
          <w:numId w:val="1"/>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Лобыкина Д.В. - представителя по доверенности от 08.08.2017 № 32-611;</w:t>
      </w:r>
    </w:p>
    <w:p>
      <w:pPr>
        <w:pStyle w:val="Style15"/>
        <w:numPr>
          <w:ilvl w:val="0"/>
          <w:numId w:val="1"/>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Михейкиной А.Д. - представителя по доверенности от 17.10.2017 № 495,</w:t>
      </w:r>
    </w:p>
    <w:p>
      <w:pPr>
        <w:pStyle w:val="Style1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со стороны подателя жалобы - ООО «Ортинно»:</w:t>
      </w:r>
    </w:p>
    <w:p>
      <w:pPr>
        <w:pStyle w:val="Style15"/>
        <w:numPr>
          <w:ilvl w:val="0"/>
          <w:numId w:val="1"/>
        </w:numPr>
        <w:widowControl w:val="0"/>
        <w:keepNext w:val="0"/>
        <w:keepLines w:val="0"/>
        <w:shd w:val="clear" w:color="auto" w:fill="auto"/>
        <w:bidi w:val="0"/>
        <w:jc w:val="both"/>
        <w:spacing w:before="0" w:after="124"/>
        <w:ind w:left="20" w:right="0" w:firstLine="700"/>
      </w:pPr>
      <w:r>
        <w:rPr>
          <w:lang w:val="ru-RU" w:eastAsia="ru-RU" w:bidi="ru-RU"/>
          <w:w w:val="100"/>
          <w:spacing w:val="0"/>
          <w:color w:val="000000"/>
          <w:position w:val="0"/>
        </w:rPr>
        <w:t xml:space="preserve"> Лунина А.В. - представитель по доверенности от 02.11.2017 № 05/17,</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рассмотрев жалобу ООО «Ортинно» (Большая Пушкарская ул., д. 41, лит. Б., пом. 10-Н, г. Санкт - Петербург) на положения документации при проведении открытого аукциона в электронной форме «Поставка медицинских расходных материалов» (извещение № 0155200002217000439 опубликовано на сайте </w:t>
      </w:r>
      <w:r>
        <w:rPr>
          <w:lang w:val="en-US" w:eastAsia="en-US" w:bidi="en-US"/>
          <w:w w:val="100"/>
          <w:spacing w:val="0"/>
          <w:color w:val="000000"/>
          <w:position w:val="0"/>
        </w:rPr>
        <w:t>\vww. zakupki.gov.ru</w:t>
      </w:r>
    </w:p>
    <w:p>
      <w:pPr>
        <w:pStyle w:val="Style15"/>
        <w:numPr>
          <w:ilvl w:val="0"/>
          <w:numId w:val="3"/>
        </w:numPr>
        <w:tabs>
          <w:tab w:leader="none" w:pos="1403" w:val="left"/>
        </w:tabs>
        <w:widowControl w:val="0"/>
        <w:keepNext w:val="0"/>
        <w:keepLines w:val="0"/>
        <w:shd w:val="clear" w:color="auto" w:fill="auto"/>
        <w:bidi w:val="0"/>
        <w:jc w:val="both"/>
        <w:spacing w:before="0" w:after="170" w:line="293" w:lineRule="exact"/>
        <w:ind w:left="20" w:right="20" w:firstLine="0"/>
      </w:pPr>
      <w:r>
        <w:rPr>
          <w:lang w:val="ru-RU" w:eastAsia="ru-RU" w:bidi="ru-RU"/>
          <w:w w:val="100"/>
          <w:spacing w:val="0"/>
          <w:color w:val="000000"/>
          <w:position w:val="0"/>
        </w:rPr>
        <w:t>(далее - электронный аукцион),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«Клиническая больница №6 им. Г.А. Захарьина»,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15"/>
        <w:widowControl w:val="0"/>
        <w:keepNext w:val="0"/>
        <w:keepLines w:val="0"/>
        <w:shd w:val="clear" w:color="auto" w:fill="auto"/>
        <w:bidi w:val="0"/>
        <w:jc w:val="left"/>
        <w:spacing w:before="0" w:after="32" w:line="230" w:lineRule="exact"/>
        <w:ind w:left="440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03 ноября 2017 года в Управление Федеральной антимонопольной службы по Пензенской области (далее - Пензенское У ФАС России) поступила жалоба ООО «Ортинно» (Большая Пушкарская ул., д. 41, лиг. Б., пом. 10-Н, г. Санкт - Петербург) на положения документации при проведении открытого аукциона в электронной форме «Поставка медицинских расходных материалов» (извещение № 0155200002217000439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24.10.2017) (далее — электронный аукцион),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«Клиническая больница №6 им. Г.А. Захарьина».</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По мнению подателя жатобы при проведении открытого аукциона в электронной форме нарушены положения части 1 статьи 33 Закона о контрактной системе. В документации об электронном аукционе установлены требования о соответствии ГОСТ </w:t>
      </w:r>
      <w:r>
        <w:rPr>
          <w:lang w:val="en-US" w:eastAsia="en-US" w:bidi="en-US"/>
          <w:w w:val="100"/>
          <w:spacing w:val="0"/>
          <w:color w:val="000000"/>
          <w:position w:val="0"/>
        </w:rPr>
        <w:t xml:space="preserve">ISO </w:t>
      </w:r>
      <w:r>
        <w:rPr>
          <w:lang w:val="ru-RU" w:eastAsia="ru-RU" w:bidi="ru-RU"/>
          <w:w w:val="100"/>
          <w:spacing w:val="0"/>
          <w:color w:val="000000"/>
          <w:position w:val="0"/>
        </w:rPr>
        <w:t>14602-2012 п.п. 1,2,3,4,6.7,8,10.11 Приложения № 1 Технического задания. Данный ГОСТ по мнению подателя жалобы распространяется только на изделия остеосинтеза и никакого отношения не имеет к изделиям для замены суставов. Податель жалобы считает, что в документации об электронном аукционе должен быть указан ГОСТ Р ИСО 21534-2013.</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Кроме того, податель жалобы считает, что на территории РФ не рекомендовано изготовление эндопротезов из материала «сталь нержавеющая деформируемая», поскольку ГОСТ Р ИСО 21534-2013 не предусматривает подобного материала.</w:t>
      </w:r>
    </w:p>
    <w:p>
      <w:pPr>
        <w:pStyle w:val="Style1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Представитель заказчика с доводами жалобы не согласился по основаниям, изложенным в отзыве б/н от 09.11.2017, а также дополнении от 14.11.2017 б/н.</w:t>
      </w:r>
    </w:p>
    <w:p>
      <w:pPr>
        <w:pStyle w:val="Style1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Представитель уполномоченного органа с доводами жалобы не согласился по основаниям, изложенным в отзыве от 08.11.2017 № 540, а также в дополнении от 14.11.2017 № 543.</w:t>
      </w:r>
    </w:p>
    <w:p>
      <w:pPr>
        <w:pStyle w:val="Style1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соответствии с требованиями статьи 105 Закона о контрактной системе жалоба была принята и назначена к рассмотрению на 10.11.2017 в 15 час. 45 мин. В рассмотрении жалобы ООО "Ортинно" объявлен перерыв до 16 часов 00 минут 13.11.2017.</w:t>
      </w:r>
    </w:p>
    <w:p>
      <w:pPr>
        <w:pStyle w:val="Style15"/>
        <w:numPr>
          <w:ilvl w:val="0"/>
          <w:numId w:val="5"/>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представителем Государственного бюджетного учреждения здравоохранения «Клиническая больница №6 им. Г.А. Захарьина» на заседании Комиссии заявлено ходатайство об отложении рассмотрения данной жалобы в связи с необходимостью подготовки дополнительных возражений на дополнительные доводы заявителя.</w:t>
      </w:r>
    </w:p>
    <w:p>
      <w:pPr>
        <w:pStyle w:val="Style1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Комиссия Управления, рассмотрев заявленное ходатайство, приняла решение о перерыве до 14.11.2017 в 17 часов 00 минут.</w:t>
      </w:r>
    </w:p>
    <w:p>
      <w:pPr>
        <w:pStyle w:val="Style15"/>
        <w:widowControl w:val="0"/>
        <w:keepNext w:val="0"/>
        <w:keepLines w:val="0"/>
        <w:shd w:val="clear" w:color="auto" w:fill="auto"/>
        <w:bidi w:val="0"/>
        <w:jc w:val="both"/>
        <w:spacing w:before="0" w:after="279" w:line="341" w:lineRule="exact"/>
        <w:ind w:left="20" w:right="20" w:firstLine="700"/>
      </w:pPr>
      <w:r>
        <w:rPr>
          <w:lang w:val="ru-RU" w:eastAsia="ru-RU" w:bidi="ru-RU"/>
          <w:w w:val="100"/>
          <w:spacing w:val="0"/>
          <w:color w:val="000000"/>
          <w:position w:val="0"/>
        </w:rPr>
        <w:t>Комиссия Управления, выслушав доводы лиц, участвующих в рассмотрении жалобы, исследовав в совокупности с имеющимися материалами дела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5"/>
        <w:numPr>
          <w:ilvl w:val="0"/>
          <w:numId w:val="7"/>
        </w:numPr>
        <w:widowControl w:val="0"/>
        <w:keepNext w:val="0"/>
        <w:keepLines w:val="0"/>
        <w:shd w:val="clear" w:color="auto" w:fill="auto"/>
        <w:bidi w:val="0"/>
        <w:jc w:val="both"/>
        <w:spacing w:before="0" w:after="236" w:line="293" w:lineRule="exact"/>
        <w:ind w:left="20" w:right="20" w:firstLine="700"/>
      </w:pPr>
      <w:r>
        <w:rPr>
          <w:lang w:val="ru-RU" w:eastAsia="ru-RU" w:bidi="ru-RU"/>
          <w:w w:val="100"/>
          <w:spacing w:val="0"/>
          <w:color w:val="000000"/>
          <w:position w:val="0"/>
        </w:rPr>
        <w:t xml:space="preserve"> уполномоченным органом - Управлением по регулированию контрактной системы и закупкам Пензенской области на официальном сайте Российской Федерации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опубликовано извещение «Поставка медицинских расходных материалов» (извещение № 0155200002217000439).</w:t>
      </w:r>
    </w:p>
    <w:p>
      <w:pPr>
        <w:pStyle w:val="Style1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Начальная (максимальная) цена контракта составляет 5 501 550,00 рублей.</w:t>
      </w:r>
    </w:p>
    <w:p>
      <w:pPr>
        <w:pStyle w:val="Style1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Дата и время начала подачи заявок (по местному времени) - 24.10.2017 в 17:57.</w:t>
      </w:r>
    </w:p>
    <w:p>
      <w:pPr>
        <w:pStyle w:val="Style1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Дата и время окончания подачи заявок (по местному времени) - 09.11.2017 в</w:t>
      </w:r>
    </w:p>
    <w:p>
      <w:pPr>
        <w:pStyle w:val="Style15"/>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09:00.</w:t>
      </w:r>
    </w:p>
    <w:p>
      <w:pPr>
        <w:pStyle w:val="Style15"/>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Дата окончания срока рассмотрения первых частей заявок - 15.11.2017.</w:t>
      </w:r>
    </w:p>
    <w:p>
      <w:pPr>
        <w:pStyle w:val="Style15"/>
        <w:widowControl w:val="0"/>
        <w:keepNext w:val="0"/>
        <w:keepLines w:val="0"/>
        <w:shd w:val="clear" w:color="auto" w:fill="auto"/>
        <w:bidi w:val="0"/>
        <w:jc w:val="both"/>
        <w:spacing w:before="0" w:after="236" w:line="293" w:lineRule="exact"/>
        <w:ind w:left="20" w:right="0" w:firstLine="700"/>
      </w:pPr>
      <w:r>
        <w:rPr>
          <w:lang w:val="ru-RU" w:eastAsia="ru-RU" w:bidi="ru-RU"/>
          <w:w w:val="100"/>
          <w:spacing w:val="0"/>
          <w:color w:val="000000"/>
          <w:position w:val="0"/>
        </w:rPr>
        <w:t>Дата проведения аукциона в электронной форме - 20.11.2017</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части 1 статьи 33 Закона о контрактной системе предусмотрены правила, которыми заказчик должен руководствоваться при описании объекта закупки в документации о закупке.</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пункте 1 части 1 статьи 33 Закона о контрактной системе установлено, что описание объекта закупки должно носить объективный характер и включать в себя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исключая случаи отсутствия другого способа, обеспечивающего более точное и четкое описание характеристик объекта закупки.</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Заказчик при описании объекта закупки в документации о закупке должен использовать, если это возможно,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5"/>
        <w:tabs>
          <w:tab w:leader="underscore" w:pos="8242"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требованиями технического задания, являющегося приложением № 1 к документации об электронном аукционе объектом закупки является «Поставка медицинских р</w:t>
      </w:r>
      <w:r>
        <w:rPr>
          <w:rStyle w:val="CharStyle17"/>
          <w:lang w:val="ru-RU" w:eastAsia="ru-RU" w:bidi="ru-RU"/>
        </w:rPr>
        <w:t>асходных материалов», а именно:</w:t>
      </w:r>
      <w:r>
        <w:rPr>
          <w:lang w:val="ru-RU" w:eastAsia="ru-RU" w:bidi="ru-RU"/>
          <w:w w:val="100"/>
          <w:spacing w:val="0"/>
          <w:color w:val="000000"/>
          <w:position w:val="0"/>
        </w:rPr>
        <w:tab/>
      </w:r>
    </w:p>
    <w:tbl>
      <w:tblPr>
        <w:tblOverlap w:val="never"/>
        <w:tblLayout w:type="fixed"/>
        <w:jc w:val="center"/>
      </w:tblPr>
      <w:tblGrid>
        <w:gridCol w:w="859"/>
        <w:gridCol w:w="5707"/>
      </w:tblGrid>
      <w:tr>
        <w:trPr>
          <w:trHeight w:val="389" w:hRule="exact"/>
        </w:trPr>
        <w:tc>
          <w:tcPr>
            <w:shd w:val="clear" w:color="auto" w:fill="FFFFFF"/>
            <w:tcBorders>
              <w:left w:val="single" w:sz="4"/>
              <w:top w:val="single" w:sz="4"/>
            </w:tcBorders>
            <w:vAlign w:val="top"/>
          </w:tcPr>
          <w:p>
            <w:pPr>
              <w:pStyle w:val="Style15"/>
              <w:framePr w:w="6566"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18"/>
              </w:rPr>
              <w:t>№ п/п</w:t>
            </w:r>
          </w:p>
        </w:tc>
        <w:tc>
          <w:tcPr>
            <w:shd w:val="clear" w:color="auto" w:fill="FFFFFF"/>
            <w:tcBorders>
              <w:left w:val="single" w:sz="4"/>
              <w:right w:val="single" w:sz="4"/>
              <w:top w:val="single" w:sz="4"/>
            </w:tcBorders>
            <w:vAlign w:val="top"/>
          </w:tcPr>
          <w:p>
            <w:pPr>
              <w:pStyle w:val="Style15"/>
              <w:framePr w:w="6566" w:wrap="notBeside" w:vAnchor="text" w:hAnchor="text" w:xAlign="center" w:y="1"/>
              <w:widowControl w:val="0"/>
              <w:keepNext w:val="0"/>
              <w:keepLines w:val="0"/>
              <w:shd w:val="clear" w:color="auto" w:fill="auto"/>
              <w:bidi w:val="0"/>
              <w:jc w:val="left"/>
              <w:spacing w:before="0" w:after="0" w:line="230" w:lineRule="exact"/>
              <w:ind w:left="1960" w:right="0" w:firstLine="0"/>
            </w:pPr>
            <w:r>
              <w:rPr>
                <w:rStyle w:val="CharStyle18"/>
              </w:rPr>
              <w:t>Наименование товара</w:t>
            </w:r>
          </w:p>
        </w:tc>
      </w:tr>
      <w:tr>
        <w:trPr>
          <w:trHeight w:val="307"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1</w:t>
            </w:r>
          </w:p>
        </w:tc>
        <w:tc>
          <w:tcPr>
            <w:shd w:val="clear" w:color="auto" w:fill="FFFFFF"/>
            <w:tcBorders>
              <w:left w:val="single" w:sz="4"/>
              <w:righ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Ножка бедренная цементная</w:t>
            </w:r>
          </w:p>
        </w:tc>
      </w:tr>
      <w:tr>
        <w:trPr>
          <w:trHeight w:val="302"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2</w:t>
            </w:r>
          </w:p>
        </w:tc>
        <w:tc>
          <w:tcPr>
            <w:shd w:val="clear" w:color="auto" w:fill="FFFFFF"/>
            <w:tcBorders>
              <w:left w:val="single" w:sz="4"/>
              <w:righ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Головка бедренная Сталь</w:t>
            </w:r>
          </w:p>
        </w:tc>
      </w:tr>
      <w:tr>
        <w:trPr>
          <w:trHeight w:val="293"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3</w:t>
            </w:r>
          </w:p>
        </w:tc>
        <w:tc>
          <w:tcPr>
            <w:shd w:val="clear" w:color="auto" w:fill="FFFFFF"/>
            <w:tcBorders>
              <w:left w:val="single" w:sz="4"/>
              <w:righ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Головка бедренная биполярная</w:t>
            </w:r>
          </w:p>
        </w:tc>
      </w:tr>
      <w:tr>
        <w:trPr>
          <w:trHeight w:val="307"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4</w:t>
            </w:r>
          </w:p>
        </w:tc>
        <w:tc>
          <w:tcPr>
            <w:shd w:val="clear" w:color="auto" w:fill="FFFFFF"/>
            <w:tcBorders>
              <w:left w:val="single" w:sz="4"/>
              <w:righ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Головка</w:t>
            </w:r>
          </w:p>
        </w:tc>
      </w:tr>
      <w:tr>
        <w:trPr>
          <w:trHeight w:val="312"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5</w:t>
            </w:r>
          </w:p>
        </w:tc>
        <w:tc>
          <w:tcPr>
            <w:shd w:val="clear" w:color="auto" w:fill="FFFFFF"/>
            <w:tcBorders>
              <w:left w:val="single" w:sz="4"/>
              <w:righ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Цемент</w:t>
            </w:r>
          </w:p>
        </w:tc>
      </w:tr>
      <w:tr>
        <w:trPr>
          <w:trHeight w:val="317"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6</w:t>
            </w:r>
          </w:p>
        </w:tc>
        <w:tc>
          <w:tcPr>
            <w:shd w:val="clear" w:color="auto" w:fill="FFFFFF"/>
            <w:tcBorders>
              <w:left w:val="single" w:sz="4"/>
              <w:righ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Ножка бесцементная</w:t>
            </w:r>
          </w:p>
        </w:tc>
      </w:tr>
      <w:tr>
        <w:trPr>
          <w:trHeight w:val="322"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7</w:t>
            </w:r>
          </w:p>
        </w:tc>
        <w:tc>
          <w:tcPr>
            <w:shd w:val="clear" w:color="auto" w:fill="FFFFFF"/>
            <w:tcBorders>
              <w:left w:val="single" w:sz="4"/>
              <w:righ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Чаша бесцементная</w:t>
            </w:r>
          </w:p>
        </w:tc>
      </w:tr>
      <w:tr>
        <w:trPr>
          <w:trHeight w:val="360"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8</w:t>
            </w:r>
          </w:p>
        </w:tc>
        <w:tc>
          <w:tcPr>
            <w:shd w:val="clear" w:color="auto" w:fill="FFFFFF"/>
            <w:tcBorders>
              <w:left w:val="single" w:sz="4"/>
              <w:right w:val="single" w:sz="4"/>
              <w:top w:val="single" w:sz="4"/>
            </w:tcBorders>
            <w:vAlign w:val="center"/>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Вкладыш полиэтиленовый</w:t>
            </w:r>
          </w:p>
        </w:tc>
      </w:tr>
      <w:tr>
        <w:trPr>
          <w:trHeight w:val="494" w:hRule="exact"/>
        </w:trPr>
        <w:tc>
          <w:tcPr>
            <w:shd w:val="clear" w:color="auto" w:fill="FFFFFF"/>
            <w:tcBorders>
              <w:left w:val="single" w:sz="4"/>
              <w:top w:val="single" w:sz="4"/>
            </w:tcBorders>
            <w:vAlign w:val="top"/>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9</w:t>
            </w:r>
          </w:p>
        </w:tc>
        <w:tc>
          <w:tcPr>
            <w:shd w:val="clear" w:color="auto" w:fill="FFFFFF"/>
            <w:tcBorders>
              <w:left w:val="single" w:sz="4"/>
              <w:right w:val="single" w:sz="4"/>
              <w:top w:val="single" w:sz="4"/>
            </w:tcBorders>
            <w:vAlign w:val="top"/>
          </w:tcPr>
          <w:p>
            <w:pPr>
              <w:pStyle w:val="Style15"/>
              <w:framePr w:w="656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Винты фиксирующие</w:t>
            </w:r>
          </w:p>
        </w:tc>
      </w:tr>
      <w:tr>
        <w:trPr>
          <w:trHeight w:val="331" w:hRule="exact"/>
        </w:trPr>
        <w:tc>
          <w:tcPr>
            <w:shd w:val="clear" w:color="auto" w:fill="FFFFFF"/>
            <w:tcBorders>
              <w:left w:val="single" w:sz="4"/>
              <w:top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10</w:t>
            </w:r>
          </w:p>
        </w:tc>
        <w:tc>
          <w:tcPr>
            <w:shd w:val="clear" w:color="auto" w:fill="FFFFFF"/>
            <w:tcBorders>
              <w:left w:val="single" w:sz="4"/>
              <w:right w:val="single" w:sz="4"/>
              <w:top w:val="single" w:sz="4"/>
            </w:tcBorders>
            <w:vAlign w:val="center"/>
          </w:tcPr>
          <w:p>
            <w:pPr>
              <w:pStyle w:val="Style15"/>
              <w:framePr w:w="6566" w:wrap="notBeside" w:vAnchor="text" w:hAnchor="text" w:xAlign="center" w:y="1"/>
              <w:widowControl w:val="0"/>
              <w:keepNext w:val="0"/>
              <w:keepLines w:val="0"/>
              <w:shd w:val="clear" w:color="auto" w:fill="auto"/>
              <w:bidi w:val="0"/>
              <w:jc w:val="left"/>
              <w:spacing w:before="0" w:after="0" w:line="230" w:lineRule="exact"/>
              <w:ind w:left="1960" w:right="0" w:firstLine="0"/>
            </w:pPr>
            <w:r>
              <w:rPr>
                <w:rStyle w:val="CharStyle18"/>
              </w:rPr>
              <w:t>Ножка цементная</w:t>
            </w:r>
          </w:p>
        </w:tc>
      </w:tr>
      <w:tr>
        <w:trPr>
          <w:trHeight w:val="365" w:hRule="exact"/>
        </w:trPr>
        <w:tc>
          <w:tcPr>
            <w:shd w:val="clear" w:color="auto" w:fill="FFFFFF"/>
            <w:tcBorders>
              <w:left w:val="single" w:sz="4"/>
              <w:top w:val="single" w:sz="4"/>
              <w:bottom w:val="single" w:sz="4"/>
            </w:tcBorders>
            <w:vAlign w:val="bottom"/>
          </w:tcPr>
          <w:p>
            <w:pPr>
              <w:pStyle w:val="Style15"/>
              <w:framePr w:w="6566" w:wrap="notBeside" w:vAnchor="text" w:hAnchor="text" w:xAlign="center" w:y="1"/>
              <w:widowControl w:val="0"/>
              <w:keepNext w:val="0"/>
              <w:keepLines w:val="0"/>
              <w:shd w:val="clear" w:color="auto" w:fill="auto"/>
              <w:bidi w:val="0"/>
              <w:jc w:val="right"/>
              <w:spacing w:before="0" w:after="0" w:line="230" w:lineRule="exact"/>
              <w:ind w:left="0" w:right="300" w:firstLine="0"/>
            </w:pPr>
            <w:r>
              <w:rPr>
                <w:rStyle w:val="CharStyle18"/>
              </w:rPr>
              <w:t>11</w:t>
            </w:r>
          </w:p>
        </w:tc>
        <w:tc>
          <w:tcPr>
            <w:shd w:val="clear" w:color="auto" w:fill="FFFFFF"/>
            <w:tcBorders>
              <w:left w:val="single" w:sz="4"/>
              <w:right w:val="single" w:sz="4"/>
              <w:top w:val="single" w:sz="4"/>
              <w:bottom w:val="single" w:sz="4"/>
            </w:tcBorders>
            <w:vAlign w:val="center"/>
          </w:tcPr>
          <w:p>
            <w:pPr>
              <w:pStyle w:val="Style15"/>
              <w:framePr w:w="6566" w:wrap="notBeside" w:vAnchor="text" w:hAnchor="text" w:xAlign="center" w:y="1"/>
              <w:widowControl w:val="0"/>
              <w:keepNext w:val="0"/>
              <w:keepLines w:val="0"/>
              <w:shd w:val="clear" w:color="auto" w:fill="auto"/>
              <w:bidi w:val="0"/>
              <w:jc w:val="left"/>
              <w:spacing w:before="0" w:after="0" w:line="230" w:lineRule="exact"/>
              <w:ind w:left="1960" w:right="0" w:firstLine="0"/>
            </w:pPr>
            <w:r>
              <w:rPr>
                <w:rStyle w:val="CharStyle18"/>
              </w:rPr>
              <w:t>Чаша цементная</w:t>
            </w:r>
          </w:p>
        </w:tc>
      </w:tr>
    </w:tbl>
    <w:p>
      <w:pPr>
        <w:widowControl w:val="0"/>
        <w:rPr>
          <w:sz w:val="2"/>
          <w:szCs w:val="2"/>
        </w:rPr>
      </w:pPr>
    </w:p>
    <w:p>
      <w:pPr>
        <w:pStyle w:val="Style15"/>
        <w:widowControl w:val="0"/>
        <w:keepNext w:val="0"/>
        <w:keepLines w:val="0"/>
        <w:shd w:val="clear" w:color="auto" w:fill="auto"/>
        <w:bidi w:val="0"/>
        <w:jc w:val="both"/>
        <w:spacing w:before="226" w:after="0" w:line="302" w:lineRule="exact"/>
        <w:ind w:left="20" w:right="20" w:firstLine="700"/>
      </w:pPr>
      <w:r>
        <w:rPr>
          <w:lang w:val="ru-RU" w:eastAsia="ru-RU" w:bidi="ru-RU"/>
          <w:w w:val="100"/>
          <w:spacing w:val="0"/>
          <w:color w:val="000000"/>
          <w:position w:val="0"/>
        </w:rPr>
        <w:t xml:space="preserve">Все наименования входящие в данную закупку относятся к медицинским расходным материалам и служат для выполнения требований приказа Минздрава России от 12.11.2012 </w:t>
      </w:r>
      <w:r>
        <w:rPr>
          <w:lang w:val="en-US" w:eastAsia="en-US" w:bidi="en-US"/>
          <w:w w:val="100"/>
          <w:spacing w:val="0"/>
          <w:color w:val="000000"/>
          <w:position w:val="0"/>
        </w:rPr>
        <w:t xml:space="preserve">N </w:t>
      </w:r>
      <w:r>
        <w:rPr>
          <w:lang w:val="ru-RU" w:eastAsia="ru-RU" w:bidi="ru-RU"/>
          <w:w w:val="100"/>
          <w:spacing w:val="0"/>
          <w:color w:val="000000"/>
          <w:position w:val="0"/>
        </w:rPr>
        <w:t xml:space="preserve">901 н "Об утверждении Порядка оказания медицинской помощи населению по профилю "травматология и ортопедия" (зарегистрировано в Минюсте России 25.12.2012 </w:t>
      </w:r>
      <w:r>
        <w:rPr>
          <w:lang w:val="en-US" w:eastAsia="en-US" w:bidi="en-US"/>
          <w:w w:val="100"/>
          <w:spacing w:val="0"/>
          <w:color w:val="000000"/>
          <w:position w:val="0"/>
        </w:rPr>
        <w:t xml:space="preserve">N </w:t>
      </w:r>
      <w:r>
        <w:rPr>
          <w:lang w:val="ru-RU" w:eastAsia="ru-RU" w:bidi="ru-RU"/>
          <w:w w:val="100"/>
          <w:spacing w:val="0"/>
          <w:color w:val="000000"/>
          <w:position w:val="0"/>
        </w:rPr>
        <w:t xml:space="preserve">26374), а также в соответствии со статьей 37 Федерального закона от 21 ноября 2011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323-ФЭ "Об основах охраны здоровья граждан в Российской Федерации" (Собрание законодательства Российской Федерации, 2011, </w:t>
      </w:r>
      <w:r>
        <w:rPr>
          <w:lang w:val="en-US" w:eastAsia="en-US" w:bidi="en-US"/>
          <w:w w:val="100"/>
          <w:spacing w:val="0"/>
          <w:color w:val="000000"/>
          <w:position w:val="0"/>
        </w:rPr>
        <w:t xml:space="preserve">N </w:t>
      </w:r>
      <w:r>
        <w:rPr>
          <w:lang w:val="ru-RU" w:eastAsia="ru-RU" w:bidi="ru-RU"/>
          <w:w w:val="100"/>
          <w:spacing w:val="0"/>
          <w:color w:val="000000"/>
          <w:position w:val="0"/>
        </w:rPr>
        <w:t xml:space="preserve">48. ст. 6724; 2012, </w:t>
      </w:r>
      <w:r>
        <w:rPr>
          <w:lang w:val="en-US" w:eastAsia="en-US" w:bidi="en-US"/>
          <w:w w:val="100"/>
          <w:spacing w:val="0"/>
          <w:color w:val="000000"/>
          <w:position w:val="0"/>
        </w:rPr>
        <w:t xml:space="preserve">N26, </w:t>
      </w:r>
      <w:r>
        <w:rPr>
          <w:lang w:val="ru-RU" w:eastAsia="ru-RU" w:bidi="ru-RU"/>
          <w:w w:val="100"/>
          <w:spacing w:val="0"/>
          <w:color w:val="000000"/>
          <w:position w:val="0"/>
        </w:rPr>
        <w:t>ст. 3442. 3446).</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 соответствие с ГОСТ </w:t>
      </w:r>
      <w:r>
        <w:rPr>
          <w:lang w:val="en-US" w:eastAsia="en-US" w:bidi="en-US"/>
          <w:w w:val="100"/>
          <w:spacing w:val="0"/>
          <w:color w:val="000000"/>
          <w:position w:val="0"/>
        </w:rPr>
        <w:t xml:space="preserve">ISO </w:t>
      </w:r>
      <w:r>
        <w:rPr>
          <w:lang w:val="ru-RU" w:eastAsia="ru-RU" w:bidi="ru-RU"/>
          <w:w w:val="100"/>
          <w:spacing w:val="0"/>
          <w:color w:val="000000"/>
          <w:position w:val="0"/>
        </w:rPr>
        <w:t>14602-2012 приложение Б. установлены требования к медицинским расходным материалам. В соответствие с ГОСТ Р ИСО 14630-201 1 установлены требования к упаковке и маркировке медицинских расходных материалов В соответствие с ГОСТ Р ИСО 7206-1-2005 п.З «Основные размеры» установлены обозначения размеров эндопротезов тазобедренного сустава. В данном случае понятие «размер» определяет основные структурно-описательные элементы изделия медицинского назначения, которое в свою очередь чаще всего представлено в качестве отдельных частей (например эндопротез тазобедренного сустава может состоять из: ножки эндопротеза, головки эндопротеза, вертлужного компонента (чаши). Кроме того, следует отметить, что каждое наименование компонента сустава человека имеет широкий размерный ряд и различные сочетания типоразмеров компонентов.</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Согласно пункту 1 ГОСТ </w:t>
      </w:r>
      <w:r>
        <w:rPr>
          <w:lang w:val="en-US" w:eastAsia="en-US" w:bidi="en-US"/>
          <w:w w:val="100"/>
          <w:spacing w:val="0"/>
          <w:color w:val="000000"/>
          <w:position w:val="0"/>
        </w:rPr>
        <w:t xml:space="preserve">ISO </w:t>
      </w:r>
      <w:r>
        <w:rPr>
          <w:lang w:val="ru-RU" w:eastAsia="ru-RU" w:bidi="ru-RU"/>
          <w:w w:val="100"/>
          <w:spacing w:val="0"/>
          <w:color w:val="000000"/>
          <w:position w:val="0"/>
        </w:rPr>
        <w:t xml:space="preserve">14602-2012 «Неактивные хирургические имплантаты. Имплантаты для остеосинтеза. Технические требования» (далее ГОСТ </w:t>
      </w:r>
      <w:r>
        <w:rPr>
          <w:lang w:val="en-US" w:eastAsia="en-US" w:bidi="en-US"/>
          <w:w w:val="100"/>
          <w:spacing w:val="0"/>
          <w:color w:val="000000"/>
          <w:position w:val="0"/>
        </w:rPr>
        <w:t xml:space="preserve">ISO </w:t>
      </w:r>
      <w:r>
        <w:rPr>
          <w:lang w:val="ru-RU" w:eastAsia="ru-RU" w:bidi="ru-RU"/>
          <w:w w:val="100"/>
          <w:spacing w:val="0"/>
          <w:color w:val="000000"/>
          <w:position w:val="0"/>
        </w:rPr>
        <w:t>14602-2012) настоящий стандарт устанавливает частные требования к неактивным хирургическим имплантатам для остеосинтеза.</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Стандарт ГОСТ </w:t>
      </w:r>
      <w:r>
        <w:rPr>
          <w:lang w:val="en-US" w:eastAsia="en-US" w:bidi="en-US"/>
          <w:w w:val="100"/>
          <w:spacing w:val="0"/>
          <w:color w:val="000000"/>
          <w:position w:val="0"/>
        </w:rPr>
        <w:t xml:space="preserve">ISO </w:t>
      </w:r>
      <w:r>
        <w:rPr>
          <w:lang w:val="ru-RU" w:eastAsia="ru-RU" w:bidi="ru-RU"/>
          <w:w w:val="100"/>
          <w:spacing w:val="0"/>
          <w:color w:val="000000"/>
          <w:position w:val="0"/>
        </w:rPr>
        <w:t xml:space="preserve">14602-2012 является прямым применением международного стандарта </w:t>
      </w:r>
      <w:r>
        <w:rPr>
          <w:lang w:val="en-US" w:eastAsia="en-US" w:bidi="en-US"/>
          <w:w w:val="100"/>
          <w:spacing w:val="0"/>
          <w:color w:val="000000"/>
          <w:position w:val="0"/>
        </w:rPr>
        <w:t xml:space="preserve">ISO </w:t>
      </w:r>
      <w:r>
        <w:rPr>
          <w:lang w:val="ru-RU" w:eastAsia="ru-RU" w:bidi="ru-RU"/>
          <w:w w:val="100"/>
          <w:spacing w:val="0"/>
          <w:color w:val="000000"/>
          <w:position w:val="0"/>
        </w:rPr>
        <w:t xml:space="preserve">14602:1998 «Неактивные хирургические имплантаты. Имплантаты для остеосинтеза. Технические требования», подготовленного Европейским комитетом по стандартизации (СЕН) совместно с Техническим комитетом </w:t>
      </w:r>
      <w:r>
        <w:rPr>
          <w:lang w:val="en-US" w:eastAsia="en-US" w:bidi="en-US"/>
          <w:w w:val="100"/>
          <w:spacing w:val="0"/>
          <w:color w:val="000000"/>
          <w:position w:val="0"/>
        </w:rPr>
        <w:t xml:space="preserve">ISO </w:t>
      </w:r>
      <w:r>
        <w:rPr>
          <w:lang w:val="ru-RU" w:eastAsia="ru-RU" w:bidi="ru-RU"/>
          <w:w w:val="100"/>
          <w:spacing w:val="0"/>
          <w:color w:val="000000"/>
          <w:position w:val="0"/>
        </w:rPr>
        <w:t>ТК 150 «Имплантаты для хирургии», ПК 5 «Остеосинтез» в соответствии с соглашением по техническому сотрудничеству ИСО и СЕН (Венское Соглашение).</w:t>
      </w:r>
    </w:p>
    <w:p>
      <w:pPr>
        <w:pStyle w:val="Style1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Европейские стандарты, в которых рассматриваются требования к неактивным хирургическим имплантатам, подразделяются на три уровня (первый уровень является наивысшим):</w:t>
      </w:r>
    </w:p>
    <w:p>
      <w:pPr>
        <w:pStyle w:val="Style15"/>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первый — общие требования к неактивным хирургическим имплантатам;</w:t>
      </w:r>
    </w:p>
    <w:p>
      <w:pPr>
        <w:pStyle w:val="Style15"/>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второй — частные требования к группам хирургических имплантатов;</w:t>
      </w:r>
    </w:p>
    <w:p>
      <w:pPr>
        <w:pStyle w:val="Style15"/>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третий — специальные зребовапия к конкретным типам хирургических имплантатов.</w:t>
      </w:r>
    </w:p>
    <w:p>
      <w:pPr>
        <w:pStyle w:val="Style15"/>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Стандарт первого уровня опубликован как стандарт </w:t>
      </w:r>
      <w:r>
        <w:rPr>
          <w:lang w:val="en-US" w:eastAsia="en-US" w:bidi="en-US"/>
          <w:w w:val="100"/>
          <w:spacing w:val="0"/>
          <w:color w:val="000000"/>
          <w:position w:val="0"/>
        </w:rPr>
        <w:t xml:space="preserve">ISO </w:t>
      </w:r>
      <w:r>
        <w:rPr>
          <w:lang w:val="ru-RU" w:eastAsia="ru-RU" w:bidi="ru-RU"/>
          <w:w w:val="100"/>
          <w:spacing w:val="0"/>
          <w:color w:val="000000"/>
          <w:position w:val="0"/>
        </w:rPr>
        <w:t>14630:1997.</w:t>
      </w:r>
    </w:p>
    <w:p>
      <w:pPr>
        <w:pStyle w:val="Style15"/>
        <w:widowControl w:val="0"/>
        <w:keepNext w:val="0"/>
        <w:keepLines w:val="0"/>
        <w:shd w:val="clear" w:color="auto" w:fill="auto"/>
        <w:bidi w:val="0"/>
        <w:jc w:val="both"/>
        <w:spacing w:before="0" w:after="236" w:line="293" w:lineRule="exact"/>
        <w:ind w:left="20" w:right="20" w:firstLine="700"/>
      </w:pPr>
      <w:r>
        <w:rPr>
          <w:lang w:val="ru-RU" w:eastAsia="ru-RU" w:bidi="ru-RU"/>
          <w:w w:val="100"/>
          <w:spacing w:val="0"/>
          <w:color w:val="000000"/>
          <w:position w:val="0"/>
        </w:rPr>
        <w:t xml:space="preserve">Стандарт ГОСТ </w:t>
      </w:r>
      <w:r>
        <w:rPr>
          <w:lang w:val="en-US" w:eastAsia="en-US" w:bidi="en-US"/>
          <w:w w:val="100"/>
          <w:spacing w:val="0"/>
          <w:color w:val="000000"/>
          <w:position w:val="0"/>
        </w:rPr>
        <w:t xml:space="preserve">ISO </w:t>
      </w:r>
      <w:r>
        <w:rPr>
          <w:lang w:val="ru-RU" w:eastAsia="ru-RU" w:bidi="ru-RU"/>
          <w:w w:val="100"/>
          <w:spacing w:val="0"/>
          <w:color w:val="000000"/>
          <w:position w:val="0"/>
        </w:rPr>
        <w:t xml:space="preserve">14602-2012 дополняет общие требования стандарта </w:t>
      </w:r>
      <w:r>
        <w:rPr>
          <w:lang w:val="en-US" w:eastAsia="en-US" w:bidi="en-US"/>
          <w:w w:val="100"/>
          <w:spacing w:val="0"/>
          <w:color w:val="000000"/>
          <w:position w:val="0"/>
        </w:rPr>
        <w:t xml:space="preserve">ISO </w:t>
      </w:r>
      <w:r>
        <w:rPr>
          <w:lang w:val="ru-RU" w:eastAsia="ru-RU" w:bidi="ru-RU"/>
          <w:w w:val="100"/>
          <w:spacing w:val="0"/>
          <w:color w:val="000000"/>
          <w:position w:val="0"/>
        </w:rPr>
        <w:t xml:space="preserve">14630 на неактивные хирургические имплантаты и устанавливает частные требования к имплантатам для остеосинтеза. Он должен применяться совместно с </w:t>
      </w:r>
      <w:r>
        <w:rPr>
          <w:lang w:val="en-US" w:eastAsia="en-US" w:bidi="en-US"/>
          <w:w w:val="100"/>
          <w:spacing w:val="0"/>
          <w:color w:val="000000"/>
          <w:position w:val="0"/>
        </w:rPr>
        <w:t xml:space="preserve">ISO </w:t>
      </w:r>
      <w:r>
        <w:rPr>
          <w:lang w:val="ru-RU" w:eastAsia="ru-RU" w:bidi="ru-RU"/>
          <w:w w:val="100"/>
          <w:spacing w:val="0"/>
          <w:color w:val="000000"/>
          <w:position w:val="0"/>
        </w:rPr>
        <w:t>14630. Неактивные хирургические имплантаты для остеосинтеза используют при лечении травм и в восстановительной хирургии. С их помощью обеспечивается репозиция костей после переломов и стабилизация костных (или примыкающих) структур при лечении костей или их сращении к/или для их поддержки или коррекции. После достижения поставленной цели имплантаты либо удаляют из организма, либо остаются в месте вживления.</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1 ГОСТ Р ИСО 14630-2011 «Имплантаты хирургические неактивные. Общие требования» (далее ГОСТ Р ИСО 14630-2011) настоящий стандарт устанавливает общие требования к неактивным хирургическим имплантатам (далее - имплантаты). Настоящий стандарт не распространяется на стоматологические имплантаты и восстановительные материалы, трансэндодонтические и транерадикулярные имплантаты, искусственные хрусталики глаза и имплантаты, содержащие жизнеспособные ткани животных. В отношении безопасности настоящий стандарт устанавливает требования к показателям назначения, особенностям конструкции, материалам, оценке конструкции, производству, стерилизации, упаковке и информации, предоставляемой изготовителем, и испытаниям для демонстрации соответствия данным требованиям. Дополнительные испытания указаны или па них приведены ссылки в стандартах уровней 2 и 3.</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Стандарт ГОСТ Р ИСО 14630-2011 является прямым применением международного стандарта ИСО 14630:2008 "Неактивные хирургические имплантаты. Общие требования", подготовленного Техническим комитетом ИСО 150 "Имплантаты для хирургии". Настоящий стандарт определяет порядок соблюдения фундаментальных принципов безопасности, установленных в ИСО/ТО 14283, в той части, в которой они применимы к неактивным хирургическим имплантатам. Также настоящий стандарт определяет подход к подтверждению соответствующих основных требований безопасности, сформулированных в общем виде в Приложении 1 Директивы Совета Европы 93/42/ЕЕС от 14.06.93, которая относится к медицинским изделиям.</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Существует три уровня стандартов, относящихся к неактивным хирургическим имплантатам и принадлежностям к ним:</w:t>
      </w:r>
    </w:p>
    <w:p>
      <w:pPr>
        <w:pStyle w:val="Style15"/>
        <w:numPr>
          <w:ilvl w:val="0"/>
          <w:numId w:val="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уровень 1, определяющий общие требования к неактивным хирургическим имплантатам;</w:t>
      </w:r>
    </w:p>
    <w:p>
      <w:pPr>
        <w:pStyle w:val="Style15"/>
        <w:numPr>
          <w:ilvl w:val="0"/>
          <w:numId w:val="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уровень 2, определяющий частные требования к семействам неактивных хирургических имплантатов;</w:t>
      </w:r>
    </w:p>
    <w:p>
      <w:pPr>
        <w:pStyle w:val="Style15"/>
        <w:numPr>
          <w:ilvl w:val="0"/>
          <w:numId w:val="1"/>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уровень 3, определяющий специальные требования к отдельным типам неактивных хирургических имплантатов.</w:t>
      </w:r>
    </w:p>
    <w:p>
      <w:pPr>
        <w:pStyle w:val="Style15"/>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При этом уровень 1 является наивысшим.</w:t>
      </w:r>
    </w:p>
    <w:p>
      <w:pPr>
        <w:pStyle w:val="Style15"/>
        <w:widowControl w:val="0"/>
        <w:keepNext w:val="0"/>
        <w:keepLines w:val="0"/>
        <w:shd w:val="clear" w:color="auto" w:fill="auto"/>
        <w:bidi w:val="0"/>
        <w:jc w:val="both"/>
        <w:spacing w:before="0" w:after="236" w:line="293" w:lineRule="exact"/>
        <w:ind w:left="20" w:right="20" w:firstLine="700"/>
      </w:pPr>
      <w:r>
        <w:rPr>
          <w:lang w:val="ru-RU" w:eastAsia="ru-RU" w:bidi="ru-RU"/>
          <w:w w:val="100"/>
          <w:spacing w:val="0"/>
          <w:color w:val="000000"/>
          <w:position w:val="0"/>
        </w:rPr>
        <w:t>Стандарт ГОСТ Р ИСО 14630-2011 относится к стандарту' 1 уровня, и содержит требования, применимые ко всем неактивным хирургическим имплантатам. При этом дополнительные требования будут установлены в стандартах уровней 2 и 3.</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Податель жалобы ссылается на ГОСТ Р ИСО 21534-2013 «Имплантаты хирургические неактивные имплантаты для замены суставов. Частные требования», (далее ГОСТ Р ИСО 21534-2013) который относится ко 2 уровню стандарта и содержит частные требования к </w:t>
      </w:r>
      <w:r>
        <w:rPr>
          <w:rStyle w:val="CharStyle19"/>
        </w:rPr>
        <w:t xml:space="preserve">ipyrmaM </w:t>
      </w:r>
      <w:r>
        <w:rPr>
          <w:lang w:val="ru-RU" w:eastAsia="ru-RU" w:bidi="ru-RU"/>
          <w:w w:val="100"/>
          <w:spacing w:val="0"/>
          <w:color w:val="000000"/>
          <w:position w:val="0"/>
        </w:rPr>
        <w:t xml:space="preserve">хирургических имлантатов. Стандарт уровня </w:t>
      </w:r>
      <w:r>
        <w:rPr>
          <w:rStyle w:val="CharStyle19"/>
          <w:lang w:val="ru-RU" w:eastAsia="ru-RU" w:bidi="ru-RU"/>
        </w:rPr>
        <w:t xml:space="preserve">1 </w:t>
      </w:r>
      <w:r>
        <w:rPr>
          <w:lang w:val="ru-RU" w:eastAsia="ru-RU" w:bidi="ru-RU"/>
          <w:w w:val="100"/>
          <w:spacing w:val="0"/>
          <w:color w:val="000000"/>
          <w:position w:val="0"/>
        </w:rPr>
        <w:t>опубликован в виде стандарта ИСО 14630.</w:t>
      </w:r>
    </w:p>
    <w:p>
      <w:pPr>
        <w:pStyle w:val="Style1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Пункт 1 ГОСТ Р ИСО 21534-2013 устанавливает частные требования к имплантатам для тотального и частичного протезирования суставов, искусственным связкам и костному цементу</w:t>
      </w:r>
    </w:p>
    <w:p>
      <w:pPr>
        <w:pStyle w:val="Style1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положениям статьи 4 Федерального закона от 29.06.2015 г. № 162-ФЗ «О стандартизации в Российской Федерации» (далее также - Закон № 162-ФЗ) применение национальных стандартов является добровольным.</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22 статьи 9 Закона № 162-ФЗ, Федеральное агентство по техническому регулированию и метрологии определяет порядок и условия применения на территории РФ международных и межгосударственных стандартов.</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Приказом Росстандарта от 05.05.2016 № 546 «Об утверждении Порядка и условий применения международных стандартов. межгосударственных стандартов, региональных стандартов, а также стандартов иностранных государств» в числе прочих предусмотрено применение международных и межгосударственных стандартов при условии отсутствие национальных стандартов и предварительных национальных стандартов РФ с аналогичными объектами стандартизации и требованиями, предъявляемыми к ним, соответствия национального стандарта современному уровню развития науки, техники и технологий, передовому зарубежному опыту.</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документация об электронном аукционе содержит требования к техническим и качественным характеристикам товара о соответствии ГОСТ Р ИСО</w:t>
        <w:br w:type="page"/>
        <w:t xml:space="preserve">14630-2011, который относится к 1 уровню стандарту (содержит требования, применимые ко всем неактивным хирургическим имплантатам) и ГОСТ </w:t>
      </w:r>
      <w:r>
        <w:rPr>
          <w:lang w:val="en-US" w:eastAsia="en-US" w:bidi="en-US"/>
          <w:w w:val="100"/>
          <w:spacing w:val="0"/>
          <w:color w:val="000000"/>
          <w:position w:val="0"/>
        </w:rPr>
        <w:t xml:space="preserve">ISO </w:t>
      </w:r>
      <w:r>
        <w:rPr>
          <w:lang w:val="ru-RU" w:eastAsia="ru-RU" w:bidi="ru-RU"/>
          <w:w w:val="100"/>
          <w:spacing w:val="0"/>
          <w:color w:val="000000"/>
          <w:position w:val="0"/>
        </w:rPr>
        <w:t>14602- 2012, который относится ко 2 уровню стандарта (частные требования к группам хирургических имплантатов), что не противоречат требованиям пунктов 1,2 части 1 статьи 33 Закона о контрактной системе.</w:t>
      </w:r>
    </w:p>
    <w:p>
      <w:pPr>
        <w:pStyle w:val="Style15"/>
        <w:widowControl w:val="0"/>
        <w:keepNext w:val="0"/>
        <w:keepLines w:val="0"/>
        <w:shd w:val="clear" w:color="auto" w:fill="auto"/>
        <w:bidi w:val="0"/>
        <w:jc w:val="both"/>
        <w:spacing w:before="0" w:after="110" w:line="293" w:lineRule="exact"/>
        <w:ind w:left="20" w:right="20" w:firstLine="700"/>
      </w:pPr>
      <w:r>
        <w:rPr>
          <w:lang w:val="ru-RU" w:eastAsia="ru-RU" w:bidi="ru-RU"/>
          <w:w w:val="100"/>
          <w:spacing w:val="0"/>
          <w:color w:val="000000"/>
          <w:position w:val="0"/>
        </w:rPr>
        <w:t>Изучив материалы по жалобе, выслушав доводы сторон,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15"/>
        <w:widowControl w:val="0"/>
        <w:keepNext w:val="0"/>
        <w:keepLines w:val="0"/>
        <w:shd w:val="clear" w:color="auto" w:fill="auto"/>
        <w:bidi w:val="0"/>
        <w:jc w:val="left"/>
        <w:spacing w:before="0" w:after="74" w:line="230" w:lineRule="exact"/>
        <w:ind w:left="4720" w:right="0" w:firstLine="0"/>
      </w:pPr>
      <w:r>
        <w:rPr>
          <w:lang w:val="ru-RU" w:eastAsia="ru-RU" w:bidi="ru-RU"/>
          <w:w w:val="100"/>
          <w:spacing w:val="0"/>
          <w:color w:val="000000"/>
          <w:position w:val="0"/>
        </w:rPr>
        <w:t>РЕШИЛА:</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Признать жалобу ООО «Ортинно» (Большая Пушкарская ул., д. 41, лит. Б., пом. 10-Н, г. Санкт - Петербург) на положения документации при проведении открытого аукциона в электронной форме «Поставка медицинских расходных материалов» (извещение № 0155200002217000439 опубликовано на сайте </w:t>
      </w:r>
      <w:r>
        <w:rPr>
          <w:lang w:val="en-US" w:eastAsia="en-US" w:bidi="en-US"/>
          <w:w w:val="100"/>
          <w:spacing w:val="0"/>
          <w:color w:val="000000"/>
          <w:position w:val="0"/>
        </w:rPr>
        <w:t>wvvw.zakupki.gov.ru</w:t>
      </w:r>
    </w:p>
    <w:p>
      <w:pPr>
        <w:pStyle w:val="Style15"/>
        <w:numPr>
          <w:ilvl w:val="0"/>
          <w:numId w:val="9"/>
        </w:numPr>
        <w:tabs>
          <w:tab w:leader="none" w:pos="1436" w:val="left"/>
        </w:tabs>
        <w:widowControl w:val="0"/>
        <w:keepNext w:val="0"/>
        <w:keepLines w:val="0"/>
        <w:shd w:val="clear" w:color="auto" w:fill="auto"/>
        <w:bidi w:val="0"/>
        <w:jc w:val="both"/>
        <w:spacing w:before="0" w:after="72"/>
        <w:ind w:left="20" w:right="20" w:firstLine="0"/>
      </w:pPr>
      <w:r>
        <w:rPr>
          <w:lang w:val="ru-RU" w:eastAsia="ru-RU" w:bidi="ru-RU"/>
          <w:w w:val="100"/>
          <w:spacing w:val="0"/>
          <w:color w:val="000000"/>
          <w:position w:val="0"/>
        </w:rPr>
        <w:t>,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«Клиническая больница №6 им. Г.А. Захарьина» необоснованной.</w:t>
      </w:r>
    </w:p>
    <w:p>
      <w:pPr>
        <w:pStyle w:val="Style15"/>
        <w:widowControl w:val="0"/>
        <w:keepNext w:val="0"/>
        <w:keepLines w:val="0"/>
        <w:shd w:val="clear" w:color="auto" w:fill="auto"/>
        <w:bidi w:val="0"/>
        <w:jc w:val="both"/>
        <w:spacing w:before="0" w:after="0" w:line="283" w:lineRule="exact"/>
        <w:ind w:left="20" w:right="20" w:firstLine="700"/>
        <w:sectPr>
          <w:type w:val="continuous"/>
          <w:pgSz w:w="11906" w:h="16838"/>
          <w:pgMar w:top="1110" w:left="1554" w:right="397" w:bottom="1278"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308" w:line="230" w:lineRule="exact"/>
        <w:ind w:left="0" w:right="0" w:firstLine="0"/>
      </w:pPr>
      <w:r>
        <w:rPr>
          <w:lang w:val="ru-RU" w:eastAsia="ru-RU" w:bidi="ru-RU"/>
          <w:w w:val="100"/>
          <w:spacing w:val="0"/>
          <w:color w:val="000000"/>
          <w:position w:val="0"/>
        </w:rPr>
        <w:t>Председатель Комиссии</w:t>
      </w:r>
    </w:p>
    <w:p>
      <w:pPr>
        <w:pStyle w:val="Style15"/>
        <w:framePr w:h="231" w:wrap="around" w:vAnchor="text" w:hAnchor="margin" w:x="8879" w:y="6"/>
        <w:widowControl w:val="0"/>
        <w:keepNext w:val="0"/>
        <w:keepLines w:val="0"/>
        <w:shd w:val="clear" w:color="auto" w:fill="auto"/>
        <w:bidi w:val="0"/>
        <w:jc w:val="left"/>
        <w:spacing w:before="0" w:after="0" w:line="220" w:lineRule="exact"/>
        <w:ind w:left="100" w:right="0" w:firstLine="0"/>
      </w:pPr>
      <w:r>
        <w:rPr>
          <w:rStyle w:val="CharStyle20"/>
          <w:spacing w:val="0"/>
        </w:rPr>
        <w:t>А.А. Козлов</w:t>
      </w:r>
    </w:p>
    <w:p>
      <w:pPr>
        <w:pStyle w:val="Style15"/>
        <w:framePr w:h="226" w:wrap="notBeside" w:vAnchor="text" w:hAnchor="margin" w:x="8731" w:y="620"/>
        <w:widowControl w:val="0"/>
        <w:keepNext w:val="0"/>
        <w:keepLines w:val="0"/>
        <w:shd w:val="clear" w:color="auto" w:fill="auto"/>
        <w:bidi w:val="0"/>
        <w:jc w:val="left"/>
        <w:spacing w:before="0" w:after="0" w:line="220" w:lineRule="exact"/>
        <w:ind w:left="100" w:right="0" w:firstLine="0"/>
      </w:pPr>
      <w:r>
        <w:rPr>
          <w:rStyle w:val="CharStyle20"/>
          <w:spacing w:val="0"/>
        </w:rPr>
        <w:t>М.В. Хохлова</w:t>
      </w:r>
    </w:p>
    <w:p>
      <w:pPr>
        <w:pStyle w:val="Style15"/>
        <w:widowControl w:val="0"/>
        <w:keepNext w:val="0"/>
        <w:keepLines w:val="0"/>
        <w:shd w:val="clear" w:color="auto" w:fill="auto"/>
        <w:bidi w:val="0"/>
        <w:jc w:val="left"/>
        <w:spacing w:before="0" w:after="0" w:line="230" w:lineRule="exact"/>
        <w:ind w:left="0" w:right="0" w:firstLine="0"/>
        <w:sectPr>
          <w:type w:val="continuous"/>
          <w:pgSz w:w="11906" w:h="16838"/>
          <w:pgMar w:top="4185" w:left="1702" w:right="7174" w:bottom="4795"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563" w:lineRule="exact"/>
      </w:pPr>
    </w:p>
    <w:p>
      <w:pPr>
        <w:widowControl w:val="0"/>
        <w:rPr>
          <w:sz w:val="2"/>
          <w:szCs w:val="2"/>
        </w:rPr>
      </w:pPr>
    </w:p>
    <w:sectPr>
      <w:pgSz w:w="11906" w:h="16838"/>
      <w:pgMar w:top="1" w:left="1" w:right="1" w:bottom="162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4.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3.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4.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24.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18"/>
      <w:szCs w:val="18"/>
      <w:rFonts w:ascii="Times New Roman" w:eastAsia="Times New Roman" w:hAnsi="Times New Roman" w:cs="Times New Roman"/>
      <w:spacing w:val="5"/>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spacing w:val="10"/>
    </w:rPr>
  </w:style>
  <w:style w:type="character" w:customStyle="1" w:styleId="CharStyle7">
    <w:name w:val="Основной текст (2)"/>
    <w:basedOn w:val="CharStyle6"/>
    <w:rPr>
      <w:lang w:val="ru-RU" w:eastAsia="ru-RU" w:bidi="ru-RU"/>
      <w:w w:val="10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3">
    <w:name w:val="Основной текст (4) + Lucida Sans Unicode,Курсив"/>
    <w:basedOn w:val="CharStyle11"/>
    <w:rPr>
      <w:lang w:val="ru-RU" w:eastAsia="ru-RU" w:bidi="ru-RU"/>
      <w:i/>
      <w:iCs/>
      <w:rFonts w:ascii="Lucida Sans Unicode" w:eastAsia="Lucida Sans Unicode" w:hAnsi="Lucida Sans Unicode" w:cs="Lucida Sans Unicode"/>
      <w:w w:val="100"/>
      <w:spacing w:val="0"/>
      <w:color w:val="000000"/>
      <w:position w:val="0"/>
    </w:rPr>
  </w:style>
  <w:style w:type="character" w:customStyle="1" w:styleId="CharStyle14">
    <w:name w:val="Основной текст (5)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8">
    <w:name w:val="Основной текст"/>
    <w:basedOn w:val="CharStyle16"/>
    <w:rPr>
      <w:lang w:val="ru-RU" w:eastAsia="ru-RU" w:bidi="ru-RU"/>
      <w:w w:val="100"/>
      <w:spacing w:val="0"/>
      <w:color w:val="000000"/>
      <w:position w:val="0"/>
    </w:rPr>
  </w:style>
  <w:style w:type="character" w:customStyle="1" w:styleId="CharStyle19">
    <w:name w:val="Основной текст + 11 pt,Интервал 0 pt"/>
    <w:basedOn w:val="CharStyle16"/>
    <w:rPr>
      <w:lang w:val="en-US" w:eastAsia="en-US" w:bidi="en-US"/>
      <w:sz w:val="22"/>
      <w:szCs w:val="22"/>
      <w:w w:val="100"/>
      <w:spacing w:val="10"/>
      <w:color w:val="000000"/>
      <w:position w:val="0"/>
    </w:rPr>
  </w:style>
  <w:style w:type="character" w:customStyle="1" w:styleId="CharStyle2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paragraph" w:customStyle="1" w:styleId="Style3">
    <w:name w:val="Основной текст (5)"/>
    <w:basedOn w:val="Normal"/>
    <w:link w:val="CharStyle14"/>
    <w:pPr>
      <w:widowControl w:val="0"/>
      <w:shd w:val="clear" w:color="auto" w:fill="FFFFFF"/>
      <w:spacing w:before="24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20" w:after="120" w:line="283"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before="120" w:after="12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120" w:after="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line="298" w:lineRule="exact"/>
      <w:ind w:hanging="360"/>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