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"РТС-тендер"</w:t>
      </w:r>
    </w:p>
    <w:p>
      <w:pPr>
        <w:pStyle w:val="Style3"/>
        <w:framePr w:w="4104" w:h="3398" w:wrap="around" w:vAnchor="text" w:hAnchor="margin" w:x="340" w:y="782"/>
        <w:widowControl w:val="0"/>
        <w:keepNext w:val="0"/>
        <w:keepLines w:val="0"/>
        <w:shd w:val="clear" w:color="auto" w:fill="auto"/>
        <w:bidi w:val="0"/>
        <w:jc w:val="center"/>
        <w:spacing w:before="0" w:after="111" w:line="270" w:lineRule="exact"/>
        <w:ind w:left="6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3"/>
        <w:framePr w:w="4104" w:h="3398" w:wrap="around" w:vAnchor="text" w:hAnchor="margin" w:x="340" w:y="782"/>
        <w:widowControl w:val="0"/>
        <w:keepNext w:val="0"/>
        <w:keepLines w:val="0"/>
        <w:shd w:val="clear" w:color="auto" w:fill="auto"/>
        <w:bidi w:val="0"/>
        <w:jc w:val="center"/>
        <w:spacing w:before="0" w:after="0" w:line="281" w:lineRule="exact"/>
        <w:ind w:left="60" w:right="0" w:firstLine="0"/>
      </w:pPr>
      <w:r>
        <w:rPr>
          <w:rStyle w:val="CharStyle5"/>
          <w:b/>
          <w:bCs/>
          <w:spacing w:val="10"/>
        </w:rPr>
        <w:t xml:space="preserve">УПРАВЛЕНИЕ </w:t>
      </w:r>
      <w:r>
        <w:rPr>
          <w:rStyle w:val="CharStyle4"/>
          <w:b/>
          <w:bCs/>
          <w:spacing w:val="0"/>
        </w:rPr>
        <w:t>Федеральной антимонопольной службы по Ханты-Мансийскому автономному округу - Югре</w:t>
      </w:r>
    </w:p>
    <w:p>
      <w:pPr>
        <w:pStyle w:val="Style6"/>
        <w:framePr w:w="4104" w:h="3398" w:wrap="around" w:vAnchor="text" w:hAnchor="margin" w:x="340" w:y="782"/>
        <w:widowControl w:val="0"/>
        <w:keepNext w:val="0"/>
        <w:keepLines w:val="0"/>
        <w:shd w:val="clear" w:color="auto" w:fill="auto"/>
        <w:bidi w:val="0"/>
        <w:spacing w:before="0" w:after="254"/>
        <w:ind w:left="60" w:right="0" w:firstLine="0"/>
      </w:pPr>
      <w:r>
        <w:rPr>
          <w:rStyle w:val="CharStyle7"/>
          <w:spacing w:val="0"/>
        </w:rPr>
        <w:t xml:space="preserve">ул. Мира, 27, г. Ханты-Мансийск, 628002 тел. (3467) 38-80-81 </w:t>
      </w:r>
      <w:r>
        <w:rPr>
          <w:rStyle w:val="CharStyle7"/>
          <w:lang w:val="en-US" w:eastAsia="en-US" w:bidi="en-US"/>
          <w:spacing w:val="0"/>
        </w:rPr>
        <w:t xml:space="preserve">e-mail: </w:t>
      </w:r>
      <w:r>
        <w:rPr>
          <w:rStyle w:val="CharStyle8"/>
          <w:spacing w:val="0"/>
        </w:rPr>
        <w:t>to866Tfas.gov.ru</w:t>
      </w:r>
    </w:p>
    <w:p>
      <w:pPr>
        <w:pStyle w:val="Style9"/>
        <w:framePr w:w="4104" w:h="3398" w:wrap="around" w:vAnchor="text" w:hAnchor="margin" w:x="340" w:y="782"/>
        <w:tabs>
          <w:tab w:leader="none" w:pos="1412" w:val="lef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580" w:right="0" w:firstLine="0"/>
      </w:pPr>
      <w:r>
        <w:rPr>
          <w:rStyle w:val="CharStyle11"/>
          <w:spacing w:val="0"/>
        </w:rPr>
        <w:t>//.</w:t>
        <w:tab/>
      </w:r>
      <w:r>
        <w:rPr>
          <w:rStyle w:val="CharStyle12"/>
          <w:spacing w:val="0"/>
        </w:rPr>
        <w:t>2017 № 03/КА-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</w:t>
      </w:r>
      <w:r>
        <w:rPr>
          <w:rStyle w:val="CharStyle15"/>
        </w:rPr>
        <w:t xml:space="preserve">Д.23А </w:t>
      </w:r>
      <w:r>
        <w:rPr>
          <w:rStyle w:val="CharStyle16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«Алкеми Фарма»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119571, г. Москва, а/я №17 </w:t>
      </w:r>
      <w:r>
        <w:rPr>
          <w:rStyle w:val="CharStyle16"/>
        </w:rPr>
        <w:t>Уполномоченный орган: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Казенное учреждение Ханты- Мансийского автономного округа - Югры «Центр лекарственного мониторинга» 628408, г. Сургут, ул. Сергея Безверхова, д. 4, корп. 5 </w:t>
      </w:r>
      <w:r>
        <w:rPr>
          <w:rStyle w:val="CharStyle16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 "Окружной кардиологический диспансер "Центр диагностики и сердечно-сосудистой хирургии"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46"/>
        <w:ind w:left="516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628400, ХМАО-Югра, г.Сургут, проспект Ленина, д. 69/1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206" w:line="22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bookmarkEnd w:id="0"/>
    </w:p>
    <w:p>
      <w:pPr>
        <w:pStyle w:val="Style9"/>
        <w:tabs>
          <w:tab w:leader="none" w:pos="9652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объявлена 13.11.2017</w:t>
        <w:tab/>
        <w:t>г.Ханты-Мансийск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Изготовлено в полном объеме 15.11.2017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 Мансийскому автономному округу - Югре (далее - Комиссия Управления) по контролю в сфере закупок (размещения заказов) товаров, работ, услуг для обеспечения государственных и муниципальных нужд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Демкин А.В. - Руководитель Управления;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Миронов А.Г. - Заместитель руководителя Управления;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103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Капаклы А.Д. - Старший государственный инспектор отдела Управления,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" w:line="22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Заявителя - не явились, уведомлены надлежащим образом;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Заказчика - ходатайство о рассмотрении дела в отсутствии представителей;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6" w:line="281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Уполномоченного органа - ходатайство о рассмотрении дела в отсутствии представителей,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ООО «Алкеми Фарма» от 03.11.2017 №1716-ж на действия аукционной комиссии Уполномоченного органа - Казенное учреждение Ханты-Мансийского автономного округа - Югры «Центр лекарственного мониторинга» при проведении электронного аукциона, предметом которого является поставка лекарственных препаратов (извещение №0387200009117004752) и в результате осуществления внеплановой проверки в соответствии с пунктом 1 части 15 статьи 99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15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Ханты-Мансийскому автономному округу - Югре поступила жалоба Заявителя на действия аукционной комиссии Уполномоченного органа при проведении электронного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аукционной комиссией Уполномоченного органа были допущены заявки не соответствующие требованиям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доводов Заявителя Комиссией Управления установлено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и аукционная документация о проведении электронного аукциона, предметом которого является поставка лекарственных препаратов (извещение №0387200009117004752) размещены на официальном сайте единой информационной системы 09.10.2017.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</w:t>
      </w:r>
    </w:p>
    <w:p>
      <w:pPr>
        <w:pStyle w:val="Style9"/>
        <w:numPr>
          <w:ilvl w:val="0"/>
          <w:numId w:val="3"/>
        </w:numPr>
        <w:tabs>
          <w:tab w:leader="none" w:pos="125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№0387200009117004752-1 на участие в закупке было подано три заявки. В результате рассмотрения заявок, аукционной комиссией Уполномоченного органа было принято решение о соответствии всех заявок требованиям технического задания аукционной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первые части заявок, Комиссией Управления было установлено, что участник закупки №2 по позиции 2 заявки не соответствует требованиям позиции 2 технического задания аукционной документации, а именно: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позиции 2 участника закупки №2 указано: Торговое наименование «Роулин- Роутек» таблетки покрытые пленочной оболочкой 600 мг №10 упк. 6.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позиции 2 технического задания установлено требование: МНН Линезолид таблетки покрытые пленочной оболочкой 400 мг №10 упк. 6.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возражениях на жалобу Уполномоченный орган указал следующее: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«Участник № 2 предложил лекарственный препарат с торговым наименованием «Роулин- Роутек - таблетки, покрытые пленочной оболочкой 600 мг №10, количеством 6 упаковок», что соответствовало техническому заданию заказчика.</w:t>
      </w:r>
    </w:p>
    <w:p>
      <w:pPr>
        <w:pStyle w:val="Style9"/>
        <w:tabs>
          <w:tab w:leader="none" w:pos="2266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применению лекарственного препарата для медицинского применения №</w:t>
        <w:tab/>
        <w:t>ЛП-003285-051115 торгового наименования «Роулин-роутек»,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зарегистрирована дозировка 200 мг, 400 мг, 600 мг.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Дозировка 400 мг имеет лекарственную форму - круглые двуяковыпуклые таблетки, покрытые пленочной оболочкой белого цвета, на изломе видна пленочная оболочка и ядро белого цвета.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Дозировка 600 мг имеет лекарственную форму - капсуловидные таблетки (каплеты), покрытые пленочной оболочкой белого цвета, на изломе видна пленочная оболочка и ядро белого цвета.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Максимальная концентрация линезолида в плазме крови при применении в дозе 600 мг каждые 12 часов составляет 21,2 мг/л, а при применении в дозе 400 мг каждые 12 часов - 11 мг/л; средний период времени до достижения максимальной концентрации линезолида в плазме крови - 2 часа, абсолютная биодоступность составляет около 100%.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при применении препарата 400 мг линезолида каждые 12 часов его концентрация в плазме крови будет в два раза меньше концентрации дозировки 600 мг, что говорит о том, что дозировка 600 мг с лекарственной формой - «капсуловидные таблетки (каплеты), покрытые пленочной оболочкой белого цвета, на изломе видна пленочная оболочка и ядро белого цвета» подлежит разделению с определением дозы в каждой отделяемой части.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Фармакокинетика в отдельных группах пациентов. У подростков 12-17 лет фармакокинетика линезолида, принятого в дозе 600 мг, не отличается от кинетики у взрослых.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при применении у подростков 600 мг линезолида каждые 12 часов его концентрация в плазме крови будет такой же, как у взрослых при применении в той же дозе.</w:t>
      </w:r>
    </w:p>
    <w:p>
      <w:pPr>
        <w:pStyle w:val="Style9"/>
        <w:tabs>
          <w:tab w:leader="none" w:pos="9677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способу применения и дозы: разовая доза 600 мг внутрь каждые 12 часов, продолжительность лечения 10-14 дней, принимается при внебольничной пневмонии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Staphylococcus pneumoniae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(включая полирезистентные штаммы), включая случаи, сопровождающиеся бактериемией, или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Staphylococcus aureus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(только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метициллинчувствительные штаммы); госпитальная пневмония, вызванная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Staphylococcus aureus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(включая штаммы чувствительные и нечувствительные к метициллину) или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Staphylococcus pneumoniae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(включая полирезистестентные штаммы); осложненные инфекции кожи и мягких тканей, включая инфекции при синдроме диабетической стопы, не сопровождающиеся остеомиелитом, вызванные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Staphylococcus aureus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(включая штаммы чувствительные и нечувствительные к метициллину) не сопровождающейся остеомиелитом и далее согласно инструкции;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Разовая доза взрослые 400 мг внутрь каждые 12 часов, дети 12 лет и старше 600 мг внутрь каждые 12 часов, продолжительность лечения 10-14 дней - несложные инфекции кожи и мягких тканей, вызванные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Staphylococcus aureus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(только метициллинчувствительные штампы) или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Staphylococcus pyogenes,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далее согласно инструкции.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дозировка 400 мг применяется только для определенных видов заболеваний, 600 мг имеет больший спектр применения для лечения заболеваний, а также может назначаться как взрослым, так и детям в возрасте от 12 лет и старше.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вышеизложенного следует, что указанная доза в техническом задании по большому счету является необоснованной Заказчиком, что приводит или могло привести к ограничению конкуренции для участников».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Заказчик направил в адрес Ханты-Мансийского У ФАС России письменные пояснения, согласно которых Заказчик с доводами жалобы согласен и считает жалобу обоснованной на основании нижеизложенного: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«Рациональное применение антимикробных препаратов (АМП) является одним из важных условий обеспечения качества медицинской помощи.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этапе стационарного лечения недопустимыми ошибками являются: нерациональный выбор препарата и схем их введения, избыточное использование АМП. Ответственность за выбор АПМ лежит на враче, который основывается на данных наблюдения за пациентом и на результатах исследований. В условиях ОКД «ЦД и ССХ» «Линезолид 400 мг» может быть использован по жизненным показаниям для пациентов, страдающих печеночной и почечной недостаточностью. При наличии хронических заболеваний этих органов терапевтическая доза Линезолида составляет 200-400 мг. </w:t>
      </w:r>
      <w:r>
        <w:rPr>
          <w:rStyle w:val="CharStyle19"/>
        </w:rPr>
        <w:t>Превышение дозировки, а именно 600 мг, как предлагается нам в Заявке №2, может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негативно сказаться на состоянии внутренних органов пациента, так как они отвечают за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фармакокинетику (всасывание, распределение, усвоение, выведение из организма). После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однократного приема Линезолида 600 мг пациентами с почечной недостаточностью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концентрация в плазме крови двух его основных метаболитов возрастает в 7-8 раз,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соответственно возрастают и риски развития побочных эффектов. А именно, одним из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побочных действий препарата являются повышение артериального давления, тахикардия,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тромбофлебит, лихорадка. Соответственно, учитывая кардиохирургический профиль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учреждения, характер оперативных вмешательств, высокий риск осложнений Заказчик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считает, что назначение пациентам лекарственного препарата с дозировкой 600 мг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недопустимо.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Приказа М3 РФ от 11.07.2017г. №403н «Об утверждении правил отпуска лекарственных препаратов для медицинского применения, в том числе иммунобиологических лекарственных препаратов, аптечными организациями, индивидуальными предпринимателями, имеющими лицензию на фармацевтическую деятельность», отпуск лекарственного препарата допускается, если дозировка такого лекарственного препарата меньше указанной, в таком случае осуществляется перерасчет количества лекарственного препарата с учетом курса лечения.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rStyle w:val="CharStyle19"/>
        </w:rPr>
        <w:t>В данном случае предлагается лекарственный препарат таблетка/капсула 600 мг,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</w:rPr>
        <w:t>которая не подлежит делению в условиях инфекционной безопасности учреждения.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 на рынке производителей лекарственных препаратов с идентичным МНН представлены не менее 2 лекарственных средств с дозировкой 400 мг, что свидетельствует об отсутствии ограничения круга потенциальных участников закупки».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Кроме того, Заказчик отмечает, что в соответствии с Постановлением Правительства ХМАО-Югры от 6 декабря 2013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530-п «Об уполномоченном органе, Уполномоченном учреждении на определение Поставщиков (Подрядчиков, Исполнителей) для обеспечения нужд Ханты-Мансийского округа-Югры» Заказчиком в обязательном порядке была согласована документацию о закупке в Центре лекарственного мониторинга.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при рассмотрении первых частей заявок была направлена экспертиза о несоответствии заявки №2 потребности Заказчика.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доводы сторон, материалы дела Комиссия Управления, пришла к выводу, что в рассматриваемой закупке по позиции 2 технического задания будет соответствовать лекарственный препарат МНН Линезолид таблетки покрытые пленочной оболочкой 200 мг в двукратной дозировке или 400 мг. Предложенный участником № 2 лекарственный препарат с торговым наименованием «Роулин-Роутек» с дозировкой 600 мг не соответствует требованиям технического задания и невозможен к использованию при необходимой дозировке 400 мг, поскольку дозировка 600 мг имеет лекарственную форму - капсуловидные таблетки (каплеты) не позволяющие и не предусматривающие деление, с целью использования необходимого количества препарата, а также негативно сказаться на состоянии пациента.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4 статьи 67 Закона о контрактной системе участник электронного аукциона не допускается к участию в нем в случае: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нарушение пункта 2 части 4 статьи 67 Закона о контрактной системе аукционная комиссия Уполномоченного органа неправомерно допустила к участию в закупке участника </w:t>
      </w:r>
      <w:r>
        <w:rPr>
          <w:rStyle w:val="CharStyle20"/>
        </w:rPr>
        <w:t>№</w:t>
      </w:r>
      <w:r>
        <w:rPr>
          <w:rStyle w:val="CharStyle21"/>
        </w:rPr>
        <w:t>2</w:t>
      </w:r>
      <w:r>
        <w:rPr>
          <w:rStyle w:val="CharStyle2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пришла к выводу о необходимости выдачи предписания об устранении выявленных нарушений.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2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14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«Алкеми Фарма» от 03.11.2017 №1716-ж на действия аукционной комиссии Уполномоченного органа - Казенное учреждение Ханты-Мансийского автономного округа - Югры «Центр лекарственного мониторинга» при проведении электронного аукциона, предметом которого является поставка лекарственных препаратов (извещение №0387200009117004752) обоснованной.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аукционной комиссии Уполномоченного органа - Казенное учреждение Ханты-Мансийского автономного округа - Югры «Центр лекарственного мониторинга» нарушение пункта 2 части 4 статьи 67 Закона о контрактной системе.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Уполномоченному органу - Казенное учреждение Ханты-Мансийского автономного округа - Югры «Центр лекарственного мониторинга», аукционной комиссии обязательное для исполнения предписание об устранении выявленных нарушений.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уполномоченному должностному лицу Ханты-Мансийского У ФАС России материалы дела для рассмотрения вопроса о привлечении должностных лиц, допустивших нарушение требований Закона о контрактной системе к административной ответственности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Направить данное решение сторонам и опубликовать на официальном сайте единой информационной системы в сфере закупок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06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06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58" w:left="1111" w:right="1097" w:bottom="125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частью 9 статьи 106 Закона о контрактной системе решение, принятое по результатам рассмотрения жалобы по существу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182" w:after="80" w:line="28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УПРАВЛЕНИЕ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98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Ханты-Мансийскому автономному округу - Югре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27, г. Ханты-Мансийск, 628002 тел. (3467)38-80-81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27"/>
        </w:rPr>
        <w:t>to86fa-fas.gov.ru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8"/>
        </w:rPr>
        <w:t>УУ-</w:t>
      </w:r>
      <w:r>
        <w:rPr>
          <w:rStyle w:val="CharStyle29"/>
        </w:rPr>
        <w:t xml:space="preserve"> // </w:t>
      </w:r>
      <w:r>
        <w:rPr>
          <w:rStyle w:val="CharStyle19"/>
        </w:rPr>
        <w:t>2017г. № 03/КА-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"РТС-тендер"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121151, г. Москва, набережная Тараса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Шевченко, </w:t>
      </w:r>
      <w:r>
        <w:rPr>
          <w:rStyle w:val="CharStyle15"/>
        </w:rPr>
        <w:t>Д.23А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«Алкеми Фарма»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119571, г. Москва, а/я №17 </w:t>
      </w:r>
      <w:r>
        <w:rPr>
          <w:rStyle w:val="CharStyle16"/>
        </w:rPr>
        <w:t>Уполномоченный орган: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Казенное учреждение Ханты- Мансийского автономного округа - Югры «Центр лекарственного мониторинга» 628408, г. Сургут, ул. Сергея Безверхова, д. 4, корп. 5 </w:t>
      </w:r>
      <w:r>
        <w:rPr>
          <w:rStyle w:val="CharStyle16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 "Окружной кардиологический диспансер "Центр диагностики и сердечно-сосудистой хирургии"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type w:val="continuous"/>
          <w:pgSz w:w="11906" w:h="16838"/>
          <w:pgMar w:top="608" w:left="1385" w:right="1306" w:bottom="619" w:header="0" w:footer="3" w:gutter="0"/>
          <w:rtlGutter w:val="0"/>
          <w:cols w:num="2" w:space="511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628400, ХМАО-Югра, г.Сургут, проспект Ленина, д. 69/1</w:t>
      </w: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нарушений законодательства</w:t>
      </w:r>
    </w:p>
    <w:p>
      <w:pPr>
        <w:pStyle w:val="Style9"/>
        <w:tabs>
          <w:tab w:leader="none" w:pos="8091" w:val="center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объявлена 13.11.2017</w:t>
        <w:tab/>
        <w:t>г.Ханты-Мансийск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Изготовлено в полном объеме 15.11.2017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57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 Мансийскому автономному округу - Югре (далее - Комиссия Управления) по контролю в сфере закупок (размещения заказов) товаров, работ, услуг для обеспечения государственных и муниципальных нужд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Демкин А.В. - Руководитель Управления;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Миронов А.Г. - Заместитель руководителя Управления;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3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Капаклы А.Д. - Старший государственный инспектор отдела Управления,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13.11.2017 о рассмотрении жалобы ООО «Алкеми Фарма» от 03.11.2017 №1716-ж на действия аукционной комиссии Уполномоченного органа - Казенное учреждение Ханты-Мансийского автономного округа - Югры «Центр лекарственного мониторинга» при проведении электронного аукциона, предметом которого является поставка лекарственных препаратов (извещение №0387200009117004752), руководствуясь положениями статьи 99, статьи 106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numPr>
          <w:ilvl w:val="0"/>
          <w:numId w:val="9"/>
        </w:numPr>
        <w:tabs>
          <w:tab w:leader="none" w:pos="1140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целях устранения нарушений законодательства о контрактной системе Уполномоченному органу - Казенное учреждение Ханты-Мансийского автономного округа - Югры «Центр лекарственного мониторинга», аукционной комиссии совершить следующие действия: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рассмотрения заявок на участие в электронном аукционе от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№0387200009117004752-1, Протокол проведения электронного аукциона от</w:t>
      </w:r>
    </w:p>
    <w:p>
      <w:pPr>
        <w:pStyle w:val="Style9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№0387200009117004752-2, Протокол подведения итогов электронного аукциона от 31.10.2017 №0387200009117004752-3 и назначить новую дату проведения Аукциона, а также разместить на официальном сайте Российской Федерации в информационно</w:t>
        <w:softHyphen/>
        <w:t xml:space="preserve">телекоммуникационной сети "Интернет"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об отмене протоколов. При этом дата рассмотрения первых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9"/>
        <w:numPr>
          <w:ilvl w:val="0"/>
          <w:numId w:val="9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11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отменить Протокол проведения электронного аукциона от 26.10.2017 №03 87200009117004752-2;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информацию о времени проведения Аукциона;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 об отмене протоколов,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Аукционах,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Оператору электронной площадки осуществить блокирование операций по счетам для проведения операций по обеспечению участия в Аукционах, открытых участниками закупки, в отношении денежных средств в размере обеспечения заявки на участие в Аукционе через 4 рабочих дня со дня отправления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первые части заявок, поданные участниками закупки до окончания срока подачи заявок на участие в Аукционе,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Ханты- Мансийского У ФАС России по жалобе ООО «Алкеми Фарма» от 03.11.2017 №1716-ж.</w:t>
      </w:r>
    </w:p>
    <w:p>
      <w:pPr>
        <w:pStyle w:val="Style9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 цене контракта, поданного участником закупки с номером заявки 3, то есть с 589 680,00 рублей. В случае отсутствия при продолжении проведения Аукциона предложений о снижении размера последнего (минимального) предложения о цене контракта, предложение участника закупки с номером 3 считать лучшим.</w:t>
      </w:r>
    </w:p>
    <w:p>
      <w:pPr>
        <w:pStyle w:val="Style9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органу, аукционной комиссии, 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Ханты- Мансийского УФАС России по жалобе ООО «Алкеми Фарма» от 03.11.2017 №1716-ж.</w:t>
      </w:r>
    </w:p>
    <w:p>
      <w:pPr>
        <w:pStyle w:val="Style9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01.12.2017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0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82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в установленный срок законного предписания антимонопольного органа статьей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настоящее предписание может быть обжаловано в судебном порядке в течение трех месяцев со дня его вынесения.</w:t>
      </w:r>
    </w:p>
    <w:sectPr>
      <w:type w:val="continuous"/>
      <w:pgSz w:w="11906" w:h="16838"/>
      <w:pgMar w:top="984" w:left="1101" w:right="1099" w:bottom="98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3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017"/>
      <w:numFmt w:val="decimal"/>
      <w:lvlText w:val="23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2017"/>
      <w:numFmt w:val="decimal"/>
      <w:lvlText w:val="26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4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(2) + 12 pt,Интервал 0 pt Exact"/>
    <w:basedOn w:val="CharStyle13"/>
    <w:rPr>
      <w:sz w:val="24"/>
      <w:szCs w:val="24"/>
      <w:spacing w:val="13"/>
    </w:rPr>
  </w:style>
  <w:style w:type="character" w:customStyle="1" w:styleId="CharStyle7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(3) Exact"/>
    <w:basedOn w:val="CharStyle26"/>
    <w:rPr>
      <w:lang w:val="en-US" w:eastAsia="en-US" w:bidi="en-US"/>
      <w:u w:val="single"/>
      <w:sz w:val="17"/>
      <w:szCs w:val="17"/>
      <w:spacing w:val="6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1">
    <w:name w:val="Основной текст Exact"/>
    <w:basedOn w:val="CharStyle14"/>
    <w:rPr>
      <w:u w:val="single"/>
      <w:sz w:val="21"/>
      <w:szCs w:val="21"/>
      <w:spacing w:val="6"/>
    </w:rPr>
  </w:style>
  <w:style w:type="character" w:customStyle="1" w:styleId="CharStyle12">
    <w:name w:val="Основной текст Exact"/>
    <w:basedOn w:val="CharStyle14"/>
    <w:rPr>
      <w:u w:val="single"/>
      <w:sz w:val="21"/>
      <w:szCs w:val="21"/>
      <w:spacing w:val="6"/>
    </w:rPr>
  </w:style>
  <w:style w:type="character" w:customStyle="1" w:styleId="CharStyle13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+ 10,5 pt"/>
    <w:basedOn w:val="CharStyle1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Заголовок №2_"/>
    <w:basedOn w:val="DefaultParagraphFont"/>
    <w:link w:val="Style1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+ Lucida Sans Unicode"/>
    <w:basedOn w:val="CharStyle14"/>
    <w:rPr>
      <w:lang w:val="ru-RU" w:eastAsia="ru-RU" w:bidi="ru-RU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1">
    <w:name w:val="Основной текст + 12 pt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4)_"/>
    <w:basedOn w:val="DefaultParagraphFont"/>
    <w:link w:val="Style22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Заголовок №1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character" w:customStyle="1" w:styleId="CharStyle26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7">
    <w:name w:val="Основной текст (3)"/>
    <w:basedOn w:val="CharStyle2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8">
    <w:name w:val="Основной текст + Курсив"/>
    <w:basedOn w:val="CharStyle14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1">
    <w:name w:val="Основной текст (5)_"/>
    <w:basedOn w:val="DefaultParagraphFont"/>
    <w:link w:val="Style3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13"/>
    <w:pPr>
      <w:widowControl w:val="0"/>
      <w:shd w:val="clear" w:color="auto" w:fill="FFFFFF"/>
      <w:jc w:val="both"/>
      <w:spacing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26"/>
    <w:pPr>
      <w:widowControl w:val="0"/>
      <w:shd w:val="clear" w:color="auto" w:fill="FFFFFF"/>
      <w:jc w:val="center"/>
      <w:spacing w:after="240" w:line="227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4"/>
    <w:pPr>
      <w:widowControl w:val="0"/>
      <w:shd w:val="clear" w:color="auto" w:fill="FFFFFF"/>
      <w:jc w:val="both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center"/>
      <w:outlineLvl w:val="1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FFFFFF"/>
      <w:jc w:val="both"/>
      <w:spacing w:before="900" w:line="274" w:lineRule="exact"/>
      <w:ind w:firstLine="72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jc w:val="center"/>
      <w:outlineLvl w:val="0"/>
      <w:spacing w:before="6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FFFFFF"/>
      <w:jc w:val="both"/>
      <w:spacing w:before="900" w:line="227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