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42" w:after="97"/>
        <w:ind w:left="2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373"/>
        <w:ind w:left="20" w:right="0" w:firstLine="0"/>
      </w:pPr>
      <w:bookmarkStart w:id="0" w:name="bookmark0"/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70"/>
        <w:ind w:left="20" w:right="0" w:firstLine="0"/>
      </w:pPr>
      <w:r>
        <w:rPr>
          <w:rStyle w:val="CharStyle11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0" w:firstLine="0"/>
      </w:pPr>
      <w:bookmarkStart w:id="1" w:name="bookmark1"/>
      <w:r>
        <w:rPr>
          <w:rStyle w:val="CharStyle14"/>
          <w:vertAlign w:val="subscript"/>
          <w:b w:val="0"/>
          <w:bCs w:val="0"/>
          <w:i w:val="0"/>
          <w:iCs w:val="0"/>
        </w:rPr>
        <w:t>№</w:t>
      </w:r>
      <w:r>
        <w:rPr>
          <w:rStyle w:val="CharStyle14"/>
          <w:b w:val="0"/>
          <w:bCs w:val="0"/>
          <w:i w:val="0"/>
          <w:iCs w:val="0"/>
        </w:rPr>
        <w:t xml:space="preserve"> </w:t>
      </w:r>
      <w:r>
        <w:rPr>
          <w:rStyle w:val="CharStyle15"/>
          <w:lang w:val="en-US" w:eastAsia="en-US" w:bidi="en-US"/>
          <w:b/>
          <w:bCs/>
          <w:i/>
          <w:iCs/>
        </w:rPr>
        <w:t>W-ef</w:t>
      </w:r>
      <w:r>
        <w:rPr>
          <w:rStyle w:val="CharStyle15"/>
          <w:b/>
          <w:bCs/>
          <w:i/>
          <w:iCs/>
        </w:rPr>
        <w:t>~/&amp;9Л</w:t>
      </w:r>
      <w:bookmarkEnd w:id="1"/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93" w:line="80" w:lineRule="exact"/>
        <w:ind w:left="20" w:right="0" w:firstLine="0"/>
      </w:pPr>
      <w:r>
        <w:rPr>
          <w:rStyle w:val="CharStyle18"/>
        </w:rPr>
        <w:t xml:space="preserve">   /</w:t>
      </w:r>
    </w:p>
    <w:p>
      <w:pPr>
        <w:pStyle w:val="Style19"/>
        <w:tabs>
          <w:tab w:leader="none" w:pos="2521" w:val="center"/>
          <w:tab w:leader="underscore" w:pos="4830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21"/>
        </w:rPr>
        <w:t>На №</w:t>
        <w:tab/>
        <w:t xml:space="preserve"> от</w:t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432" w:lineRule="exact"/>
        <w:ind w:left="2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Дело № 354оз-17 </w:t>
      </w:r>
      <w:r>
        <w:rPr>
          <w:rStyle w:val="CharStyle22"/>
          <w:b/>
          <w:bCs/>
        </w:rPr>
        <w:t>Заказчик 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Архангельской области «Первая городская клиническая больница имени Е.Е. Волосевич»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420" w:line="250" w:lineRule="exact"/>
        <w:ind w:left="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163001, г. Архангельск, Суворова,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"mailto:otdzak@list.ru"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otdzak@list.ru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120" w:firstLine="0"/>
      </w:pPr>
      <w:r>
        <w:rPr>
          <w:rStyle w:val="CharStyle22"/>
          <w:b/>
          <w:bCs/>
        </w:rPr>
        <w:t>Уполномоченный орган (единая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2"/>
          <w:b/>
          <w:bCs/>
        </w:rPr>
        <w:t>комиссия):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Контрактное агентство Архангельской области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г. Архангельск, ул. Выучейского, д. 18, оф. 904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22"/>
          <w:b/>
          <w:bCs/>
        </w:rPr>
        <w:t>Оператор электронной площадки: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«Единая электронная торговая площадка»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ул. Кожевническая, д. 14, стр. 5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50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"Региональный центр содействия здравоохранению Ленмединформ"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197348, Санкт-Петербург, Коломяжский пр., д. 10, лит.БЕ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8" w:left="894" w:right="942" w:bottom="477" w:header="0" w:footer="3" w:gutter="0"/>
          <w:rtlGutter w:val="0"/>
          <w:cols w:num="2" w:space="720" w:equalWidth="0">
            <w:col w:w="4872" w:space="994"/>
            <w:col w:w="4205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4"/>
        </w:rPr>
        <w:instrText> HYPERLINK "mailto:s.shishkanova@lmispb.ru" </w:instrText>
      </w:r>
      <w:r>
        <w:fldChar w:fldCharType="separate"/>
      </w:r>
      <w:r>
        <w:rPr>
          <w:rStyle w:val="Hyperlink"/>
        </w:rPr>
        <w:t>s.shishkanova@lmispb.ru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24"/>
        </w:rPr>
        <w:instrText> HYPERLINK "mailto:lmi@lmispb.ru" </w:instrText>
      </w:r>
      <w:r>
        <w:fldChar w:fldCharType="separate"/>
      </w:r>
      <w:r>
        <w:rPr>
          <w:rStyle w:val="Hyperlink"/>
        </w:rPr>
        <w:t>lmi@lmispb.ru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12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1"/>
        <w:tabs>
          <w:tab w:leader="none" w:pos="8070" w:val="right"/>
          <w:tab w:leader="none" w:pos="953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ноября 2017 года</w:t>
        <w:tab/>
        <w:t>г.</w:t>
        <w:tab/>
        <w:t>Архангельск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35"/>
          <w:b/>
          <w:bCs/>
        </w:rPr>
        <w:t>Председатель комиссии:</w:t>
      </w:r>
    </w:p>
    <w:p>
      <w:pPr>
        <w:pStyle w:val="Style33"/>
        <w:tabs>
          <w:tab w:leader="none" w:pos="8732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Короткова И.Ю. Заместитель руководителя Управления - начальник отдела</w:t>
        <w:tab/>
        <w:t>контроля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0"/>
      </w:pPr>
      <w:r>
        <w:rPr>
          <w:rStyle w:val="CharStyle35"/>
          <w:b/>
          <w:bCs/>
        </w:rPr>
        <w:t>Члены комиссии:</w:t>
      </w:r>
    </w:p>
    <w:p>
      <w:pPr>
        <w:pStyle w:val="Style33"/>
        <w:tabs>
          <w:tab w:leader="none" w:pos="224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Чирова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J1.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А.</w:t>
        <w:tab/>
        <w:t>Специалист-эксперт отдела контроля закупок,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Специалист-эксперт отдела контроля закупок;</w:t>
      </w:r>
    </w:p>
    <w:p>
      <w:pPr>
        <w:pStyle w:val="Style33"/>
        <w:tabs>
          <w:tab w:leader="none" w:pos="8458" w:val="center"/>
          <w:tab w:leader="none" w:pos="9091" w:val="center"/>
          <w:tab w:leader="none" w:pos="953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</w:t>
        <w:tab/>
        <w:t>закона</w:t>
        <w:tab/>
        <w:t>от</w:t>
        <w:tab/>
        <w:t>05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6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35"/>
          <w:b/>
          <w:bCs/>
        </w:rPr>
        <w:t>в присутствии представителей от:</w:t>
      </w:r>
    </w:p>
    <w:p>
      <w:pPr>
        <w:pStyle w:val="Style25"/>
        <w:framePr w:h="259" w:wrap="around" w:vAnchor="text" w:hAnchor="margin" w:x="8795" w:y="7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rStyle w:val="CharStyle27"/>
          <w:b/>
          <w:bCs/>
          <w:spacing w:val="40"/>
        </w:rPr>
        <w:t>02141</w:t>
      </w:r>
    </w:p>
    <w:p>
      <w:pPr>
        <w:pStyle w:val="Style28"/>
        <w:framePr w:h="120" w:wrap="notBeside" w:vAnchor="text" w:hAnchor="margin" w:x="-450" w:y="88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rStyle w:val="CharStyle30"/>
          <w:spacing w:val="0"/>
        </w:rPr>
        <w:t>«ИПП «ПС», пр. Новгородский, 32, ИНН 2901120811, зак. 787, т. 2500, 16.08.2017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40" w:right="680" w:firstLine="0"/>
      </w:pPr>
      <w:r>
        <w:rPr>
          <w:rStyle w:val="CharStyle36"/>
        </w:rPr>
        <w:t xml:space="preserve">Уполномоченного органа: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Панова О.И. (доверенность от 31.03.2017 № 22-Д); </w:t>
      </w:r>
      <w:r>
        <w:rPr>
          <w:rStyle w:val="CharStyle36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Полушиной А.О. (доверенность от 03.07.2017 № 7072);</w:t>
      </w:r>
      <w:r>
        <w:br w:type="page"/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12" w:line="259" w:lineRule="exact"/>
        <w:ind w:left="20" w:right="40" w:firstLine="720"/>
      </w:pPr>
      <w:r>
        <w:rPr>
          <w:rStyle w:val="CharStyle36"/>
        </w:rPr>
        <w:t xml:space="preserve">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 надлежащим образом о времени и месте рассмотрения настоящего дела, своего представителя не направил.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51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 ноября 2017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"Региональный центр содействия здравоохранению Ленмединформ" (далее - Заявитель) на действия единой комиссии, созданной уполномоченным органом - Контрактным агентством Архангельской области (далее - единая комиссия), при проведении электронного аукциона на право заключения контракта на поставку лекарственных препаратов (извещение № 0124200000617005566).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42" w:line="230" w:lineRule="exact"/>
        <w:ind w:left="20" w:right="0" w:firstLine="720"/>
      </w:pPr>
      <w:r>
        <w:rPr>
          <w:rStyle w:val="CharStyle35"/>
          <w:b/>
          <w:bCs/>
        </w:rPr>
        <w:t>Содержание жалобы: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24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единой комиссии в связи с признанием несоответствующей заявки ООО "Региональный центр содействия здравоохранению Ленмединформ" по результатам рассмотрения вторых частей заявок на участие в электронном аукционе.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07.11.2017 № 1118.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16" w:line="26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07.11.2017 № б/н.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116" w:line="269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</w:t>
        <w:tab/>
        <w:t>Архангельской области,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осуществляющим: регулирование контрактной системы в сфере закупок товаров, работ, услуг для обеспечения нужд Архангельской области;</w:t>
        <w:tab/>
        <w:t>определение поставщиков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</w:t>
        <w:tab/>
        <w:t>области, государственных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заказчиков Архангельской области, государственных</w:t>
        <w:tab/>
        <w:t>бюджетных учреждений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 области, муниципальных заказчиков</w:t>
        <w:tab/>
        <w:t>Архангельской области,</w:t>
      </w:r>
    </w:p>
    <w:p>
      <w:pPr>
        <w:pStyle w:val="Style33"/>
        <w:tabs>
          <w:tab w:leader="none" w:pos="9563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бюджетных учреждений муниципальных</w:t>
        <w:tab/>
        <w:t>образований Архангельской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 заявку на осуществление закупки. Уполномоченный орган на основании представленной заявки Заказчика подготавливает документацию об электронном аукционе, и организует осуществление закупки.</w:t>
      </w:r>
    </w:p>
    <w:p>
      <w:pPr>
        <w:pStyle w:val="Style33"/>
        <w:numPr>
          <w:ilvl w:val="0"/>
          <w:numId w:val="1"/>
        </w:numPr>
        <w:tabs>
          <w:tab w:leader="none" w:pos="2185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№0124200000617005566 о проведении электронного аукциона и документация об электронном аукционе на право заключения контракта на поставку лекарственных препаратов (далее - документация об аукционе).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- 994 552,40 рубля.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  <w:sectPr>
          <w:type w:val="continuous"/>
          <w:pgSz w:w="11906" w:h="16838"/>
          <w:pgMar w:top="962" w:left="912" w:right="912" w:bottom="1231" w:header="0" w:footer="3" w:gutter="466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«Единая электронная торговая площадка».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16 статьи 66 ФЗ «О контрактной системе», в случае, если по окончании срока подачи заявок на участие в электронном аукционе подана только одна заявка, такой аукцион признается несостоявшимся.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71 ФЗ «О контрактной системе» в случае, если электронный аукцион признан не состоявшимся по основанию, предусмотренному частью 16 статьи 66 указанного Федерального закона в связи с тем, что по окончании срока подачи заявок на участие в таком аукционе подана только одна заявка на участие в нем: оператор электронной площадки не позднее рабочего дня, следующего за датой окончания срока подачи заявок на участие в таком аукционе, направляет заказчику обе части этой заявки.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а) пункта 3 части 1 статьи 71 ФЗ «О контрактной системе» установлено, что аукционная комиссия в течение трех рабочих дней с даты получения единственной заявки на участие в таком аукционе и документов, указанных в пункте 1 названной части, рассматривает эту заявку и эти документы на предмет соответствия требованиям ФЗ «О контрактной системе» и документации о таком аукционе и направляет оператору электронной площадки протокол рассмотрения единственной заявки на участие в таком аукционе, подписанный членами аукционной комиссии. Указанный протокол должен содержать решение о соответствии участника такого аукциона, подавшего единственную заявку на участие в таком аукционе, и поданной им заявки требованиям указанного Федерального закона и документации о таком аукционе либо о несоответствии данного участника и поданной им заявки требованиям указанного Федерального закона и (или) документации о таком аукционе с обоснованием этого решения, в том числе с указанием положений указанного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единственной заявки на участие в электронном аукционе от 27.10.2017 №0124200000617005566-4 по окончании срока подачи заявок до</w:t>
      </w:r>
    </w:p>
    <w:p>
      <w:pPr>
        <w:pStyle w:val="Style33"/>
        <w:numPr>
          <w:ilvl w:val="0"/>
          <w:numId w:val="3"/>
        </w:numPr>
        <w:tabs>
          <w:tab w:leader="none" w:pos="124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была подана единственная заявка от участника закупки с порядковым номером 1. Аукцион признан несостоявшимся на основании части 16 статьи 66 ФЗ «О контрактной системе».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Единая комиссия, рассмотрев единственную заявку участника закупки, приняла решение о несоответствии данной заявки требованиям, установленным документацией об аукционе в электронной форме: «в соответствии с пунктом 1 части 6 статьи 69 Закона 44- ФЗ заявка участника закупки признана не соответствующей требованиям, установленным документацией об аукционе в электронной форме, в связи с непредставлением документов и информации, предусмотренных частью 5 статьи 66 Закона 44-ФЗ и частью 11 раздела I «Общие положения» документации об аукционе в электронной форме, а именно, </w:t>
      </w:r>
      <w:r>
        <w:rPr>
          <w:rStyle w:val="CharStyle36"/>
        </w:rPr>
        <w:t>участником закупки не представлены копии документов, подтверждающих соответствие товара, требованиям, установленным в соответствии с законодательством Российской Федерации: копия регистрационного удостоверения на предлагаемый лекарственный препарат с МНН Натрия хлорид».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6 статьи 69 ФЗ «О контрактной системе»,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пунктами 1, 3 - 5, 7 и 8 части 2 статьи 62, частями 3 и 5 статьи 66 указанного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части 5 статьи 66 ФЗ «О контрактной системе» определено, что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7 пункта 11 «Требования к содержанию и составу заявки на участие в электронном аукционе» раздела I «Общие положения» документации об аукционе установлено, что вторая часть заявки на участие в электронном аукционе должна содержать следующие документы и информацию: копии документов, подтверждающих соответствие товара, требованиям, установленным в соответствии с законодательством Российской Федерации: копия/копии регистрационных удостоверений лекарственного препарата.</w:t>
      </w:r>
    </w:p>
    <w:p>
      <w:pPr>
        <w:pStyle w:val="Style33"/>
        <w:tabs>
          <w:tab w:leader="underscore" w:pos="731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части 1 «Наименование и описание объекта закупки (функциональные, технические и качественные характеристики, эксплуатационные характеристики объекта закупки (при необходимости)), количество товара» раздела II «Сведения о товаре, на поставку которого осуществляется закупка, и об условиях контракта» документации об аукционе содержится таблица, в которой определены характеристики закупаемого </w:t>
      </w:r>
      <w:r>
        <w:rPr>
          <w:rStyle w:val="CharStyle37"/>
          <w:lang w:val="ru-RU" w:eastAsia="ru-RU" w:bidi="ru-RU"/>
        </w:rPr>
        <w:t>лекарственного препарата, том числе: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542"/>
        <w:gridCol w:w="2789"/>
        <w:gridCol w:w="5059"/>
        <w:gridCol w:w="595"/>
        <w:gridCol w:w="830"/>
      </w:tblGrid>
      <w:tr>
        <w:trPr>
          <w:trHeight w:val="232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60" w:right="0" w:firstLine="0"/>
            </w:pPr>
            <w:r>
              <w:rPr>
                <w:rStyle w:val="CharStyle38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200" w:right="0" w:firstLine="900"/>
            </w:pPr>
            <w:r>
              <w:rPr>
                <w:rStyle w:val="CharStyle38"/>
              </w:rPr>
              <w:t>Наименование объекта закупки (Международное непатентованное или группировочное или химическое наименование лекарственного препарата или</w:t>
            </w:r>
          </w:p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8"/>
              </w:rPr>
              <w:t>фармакотерапевтическая</w:t>
            </w:r>
          </w:p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8"/>
              </w:rPr>
              <w:t>группа)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200" w:lineRule="exact"/>
              <w:ind w:left="0" w:right="180" w:firstLine="0"/>
            </w:pPr>
            <w:r>
              <w:rPr>
                <w:rStyle w:val="CharStyle38"/>
              </w:rPr>
              <w:t>Характеристика лекарственного препарата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00" w:lineRule="exact"/>
              <w:ind w:left="0" w:right="0" w:firstLine="0"/>
            </w:pPr>
            <w:r>
              <w:rPr>
                <w:rStyle w:val="CharStyle38"/>
              </w:rPr>
              <w:t>д.</w:t>
            </w:r>
          </w:p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00" w:lineRule="exact"/>
              <w:ind w:left="0" w:right="0" w:firstLine="0"/>
            </w:pPr>
            <w:r>
              <w:rPr>
                <w:rStyle w:val="CharStyle38"/>
              </w:rPr>
              <w:t>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80" w:right="0" w:firstLine="0"/>
            </w:pPr>
            <w:r>
              <w:rPr>
                <w:rStyle w:val="CharStyle39"/>
              </w:rPr>
              <w:t>ол-во</w:t>
            </w:r>
          </w:p>
        </w:tc>
      </w:tr>
      <w:tr>
        <w:trPr>
          <w:trHeight w:val="494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816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40" w:right="0" w:firstLine="0"/>
            </w:pPr>
            <w:r>
              <w:rPr>
                <w:rStyle w:val="CharStyle39"/>
              </w:rPr>
              <w:t>Натрия хлорид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240" w:right="0" w:firstLine="760"/>
            </w:pPr>
            <w:r>
              <w:rPr>
                <w:rStyle w:val="CharStyle39"/>
              </w:rPr>
              <w:t>Раствор для инфузий 0,9% по 250 мл флаконы из полиэтилена, соответствующего требованиям Европейской Фармакопеи, с самоспадающимся корпусом, укупорены полиэтиленовыми колпачками с двумя отдельными портами в верхней части, под которыми находится резиновый диск; каждый из портов стерильный, по отдельности опечатан фольгой* № 10 или</w:t>
            </w:r>
          </w:p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74" w:lineRule="exact"/>
              <w:ind w:left="240" w:right="0" w:firstLine="1360"/>
            </w:pPr>
            <w:r>
              <w:rPr>
                <w:rStyle w:val="CharStyle39"/>
              </w:rPr>
              <w:t>бутылки из полиэтилена, соответствующего требованиям Европейской Фармакопеи, с самоспадающимся корпусом, укупорены полиэтиленовыми колпачками с двумя отдельными портами в верхней части, под которыми находится резиновый диск; каждый из портов стерильный, по отдельности опечатан фольгой* № 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9"/>
              </w:rPr>
              <w:t>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3"/>
              <w:framePr w:w="981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60" w:right="0" w:firstLine="0"/>
            </w:pPr>
            <w:r>
              <w:rPr>
                <w:rStyle w:val="CharStyle39"/>
              </w:rPr>
              <w:t>200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124" w:line="274" w:lineRule="exact"/>
        <w:ind w:left="14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 Требования обусловлены тем, что работа капельницами с закрытыми воздушными клапанами исключает риск химической и микробной контаминации, кроме того применение безигольных устройств для приготовления лекарственных препаратов защищает медицинский персонал от возможной случайной травматизации и укола иглой.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подтверждается материалами дела, Заявителем во второй части заявки (заявка № 1) представлено регистрационное удостоверение лекарственного препарата для медицинского применения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PN003832/01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29.10.2009 производства ООО «Гематек» Россия форма выпуска (лекарственная форма, дозировка, первичная упаковка, количество лекарственной формы в первичной упаковке, количество первичной упаковки в потребительской упаковке, комплектность) которого, в том числе, — раствор для инфузий,</w:t>
      </w:r>
    </w:p>
    <w:p>
      <w:pPr>
        <w:pStyle w:val="Style33"/>
        <w:numPr>
          <w:ilvl w:val="0"/>
          <w:numId w:val="5"/>
        </w:numPr>
        <w:tabs>
          <w:tab w:leader="none" w:pos="85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9%, 250 мл - флаконы (10) - коробки картонные /в комплекте с заглушками для инфузионных флаконов "Экопин"/, раствор для инфузий, 0.9%, 250 мл - флаконы (10) - коробки картонные /в комплекте с канюлями двухсторонними "Экофлак Микс"/, раствор для инфузий, 0.9%, 250 мл - флаконы (10) - коробки картонные /в комплекте с системами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инфузионными "Интрафикс СейфСет"/, раствор для инфузий, 0.9%, 250 мл - флаконы (10) - коробки картонные.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заседании Комиссии Архангельского УФАС России представитель Уполномоченного органа пояснил, что на основании регистрационных удостоверений, представленных Заявителем во второй части заявки (заявка № 1), единой комиссией была проанализирована инструкция предложенного лекарственного препарата производителя (ООО «Гематек»), опубликованная на официальном сайте </w:t>
      </w:r>
      <w:r>
        <w:rPr>
          <w:rStyle w:val="CharStyle37"/>
        </w:rPr>
        <w:t>http://grls.rosminzdrav.ru/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Государственного реестра лекарственных средств. В данной инструкции отсутствует указание на характеристики, определенные части 1 раздела II «Сведения о товаре, на поставку которого осуществляется закупка, и об условиях контракта» документации об аукционе, а именно: «... из полиэтилена, соответствующего требованиям Европейской Фармакопеи, с самоспадающимся корпусом, укупорены полиэтиленовыми колпачками с двумя отдельными портами в верхней части, под которыми находится резиновый диск; каждый из портов стерильный, по отдельности опечатан фольгой...».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представитель Заказчика в заседании Комиссии Архангельского УФАС России предоставил лекарственный препарат «Натрия Хлорид» производства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«B.BRAUN MELSUNGEN AG»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(Германия) регистрационное удостоверение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№JIC-001564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лекарственный препарат «Натрия Хлорид» производства «Гематек» (Россия) регистрационное удостоверение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№PN003832/01,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также инструкцию лекарственного препарата «Натрия Хлорид» производства ООО «Гематек», вложенную производителем в упаковку с лекарственным средством.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представленной инструкции, форма выпуска и дозировка лекарственного препарата «Натрия Хлорид»: раствор для инфузий 0,9 %, по 250 мл и 500 мл во флаконы из полиэтилена, соответствующего требованиям Европейской Фармакопеи к полиэтилену для парентеральных препаратов. Флаконы имеют два типа. Тип А - флакон с самоспадаю</w:t>
        <w:softHyphen/>
        <w:t>щимся корпусом и со шкалой объемов на боковой поверхности. Тип Б - флакон с са</w:t>
        <w:softHyphen/>
        <w:t>моспадающимся корпусом и без шкалы объемов. На флаконы наварены полиэтиленовые колпачки одного из двух типов. Тип I - полиэтиленовый колпачок с двумя отдельными портами в верхней части, под которыми находится резиновый диск; каждый из портов по отдельности опечатан фольгой. Тип II - полиэтиленовый колпачок с одним портом в верхней части, под которым находится резиновый диск, и с кольцом контроля первого вскрытия.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материалы, Комиссия Архангельского УФАС России приходит к выводу о том, что лекарственный препарат, предлагаемый ООО "Гематек", соответствует требованиям документации об аукцине.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Ввиду того, что инструкция, опубликованная на официальном сайте </w:t>
      </w:r>
      <w:r>
        <w:rPr>
          <w:rStyle w:val="CharStyle37"/>
        </w:rPr>
        <w:t>http:// grls.rosminzdrav.ru/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 осударственного реестра лекарственных средств, не соответствует действующей инструкции, прикладываемой производителем ООО «Гематек» в упаковку с лекарственным средством, Комиссия Архангельского УФАС России не дает правовой оценки действиям единой комиссии по признанию заявки Заявителя несоответствующей требованиям, установленным документацией об аукционе.</w:t>
      </w:r>
    </w:p>
    <w:p>
      <w:pPr>
        <w:pStyle w:val="Style33"/>
        <w:tabs>
          <w:tab w:leader="none" w:pos="4096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Комиссия Архангельского УФАС России отмечает, что в протоколе рассмотрения единственной заявки на участие в электронном аукционе от 27.10.2017 №0124200000617005566-4 указано:</w:t>
        <w:tab/>
        <w:t>«...участником закупки не представлена копия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регистрационного удостоверения на предлагаемый лекарственный препарат с МНН Натрия хлорид...». Однако материалами дела подтверждено, что Заявителем во второй части заявки представлено регистрационное удостоверение лекарственного препарата для медицинского применения № </w:t>
      </w:r>
      <w:r>
        <w:rPr>
          <w:lang w:val="en-US" w:eastAsia="en-US" w:bidi="en-US"/>
          <w:w w:val="100"/>
          <w:spacing w:val="0"/>
          <w:color w:val="000000"/>
          <w:position w:val="0"/>
        </w:rPr>
        <w:t>PN003</w:t>
      </w:r>
      <w:r>
        <w:rPr>
          <w:lang w:val="ru-RU" w:eastAsia="ru-RU" w:bidi="ru-RU"/>
          <w:w w:val="100"/>
          <w:spacing w:val="0"/>
          <w:color w:val="000000"/>
          <w:position w:val="0"/>
        </w:rPr>
        <w:t>832/01 от 29.10.2009 производства ООО «Гематек».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изложенное, Комиссия Архангельского УФАС России приходит к выводу о том, что описание обоснования решения о несоответствии заявки №1 (ООО «Региональный центр содействия здравоохранению Ленмединформ») требованиям, установленным документацией об аукционе, некорректно и не соответствует нормам ФЗ «О контрактной системе», что повлекло за собой подачу жалобы в Архангельское УФАС России.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101" w:line="230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единая комиссия нарушила подпункт а) пункта 3 части 1 статьи 71 ФЗ «О контрактной системе.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91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15, пунктом 2 части 22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101" w:line="23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3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"Региональный центр содействия здравоохранению Ленмединформ" обоснованной.</w:t>
      </w:r>
    </w:p>
    <w:p>
      <w:pPr>
        <w:pStyle w:val="Style3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единую комиссию, созданную Уполномоченным органом, нарушившей подпункт а) пункта 3 части 1 статьи 71 ФЗ «О контрактной системе».</w:t>
      </w:r>
    </w:p>
    <w:p>
      <w:pPr>
        <w:pStyle w:val="Style3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единой комиссии, оператору электронной площадки - АО «Единая электронная торговая площадка» (далее - Оператор электронной площадки) выдать предписание об устранении выявленных нарушений ФЗ «О контрактной системе», а именно:</w:t>
      </w:r>
    </w:p>
    <w:p>
      <w:pPr>
        <w:pStyle w:val="Style33"/>
        <w:numPr>
          <w:ilvl w:val="1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Уполномоченному органу, единой комиссии отменить протокол рассмотрения единственной заявки на участие в электронном аукционе от 27.10.2017. Разместить информацию об отмене указанного протокола на сайте электронной площадки.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обеспечить Уполномоченному органу, единой комиссии возможность исполнения пункта 3.1 настоящего решения (предписания), уведомить участников закупки, подавших заявки на участие в аукционе,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3"/>
        <w:numPr>
          <w:ilvl w:val="1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в отношении денежных средств в размере обеспечения заявки на участие в аукционе.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.3. Единой комиссии повторно провести процедуру рассмотрения единственной заявки на участие в электронном аукционе на право заключения контракта на поставку лекарственных препаратов (извещение №0124200000617005566) с учетом открывшихся обстоятельств.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3.4. Уполномоченному органу, единой комиссии исполнить пункты 3.1, 3.3 настоящего решения (предписания) </w:t>
      </w:r>
      <w:r>
        <w:rPr>
          <w:rStyle w:val="CharStyle36"/>
        </w:rPr>
        <w:t xml:space="preserve">в срок до 30 ноября 2017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в тот же срок сообщить об исполнении настоящего решения (предписания) в Архангельское УФАС России в письменном виде, по факсу (8182) 21-54-45, либо на адрес электронной почты </w:t>
      </w:r>
      <w:r>
        <w:fldChar w:fldCharType="begin"/>
      </w:r>
      <w:r>
        <w:rPr>
          <w:rStyle w:val="CharStyle37"/>
        </w:rPr>
        <w:instrText> HYPERLINK "mailto:to29@fas.gov.ru" </w:instrText>
      </w:r>
      <w:r>
        <w:fldChar w:fldCharType="separate"/>
      </w:r>
      <w:r>
        <w:rPr>
          <w:rStyle w:val="Hyperlink"/>
        </w:rPr>
        <w:t>to29@fas.gov.ru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приложением подтверждающих документов</w:t>
      </w:r>
    </w:p>
    <w:p>
      <w:pPr>
        <w:pStyle w:val="Style3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07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544"/>
        <w:ind w:left="40" w:right="20" w:firstLine="0"/>
      </w:pPr>
      <w:r>
        <w:rPr>
          <w:rStyle w:val="CharStyle42"/>
          <w:i/>
          <w:iCs/>
        </w:rPr>
        <w:t>Примечание.</w:t>
      </w:r>
      <w:r>
        <w:rPr>
          <w:rStyle w:val="CharStyle43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33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027" w:left="1052" w:right="1028" w:bottom="72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7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25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0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Заголовок №2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character" w:customStyle="1" w:styleId="CharStyle14">
    <w:name w:val="Заголовок №1 + Не полужирный,Не курсив,Интервал 0 pt"/>
    <w:basedOn w:val="CharStyle13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5">
    <w:name w:val="Заголовок №1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8"/>
      <w:szCs w:val="8"/>
      <w:rFonts w:ascii="Comic Sans MS" w:eastAsia="Comic Sans MS" w:hAnsi="Comic Sans MS" w:cs="Comic Sans MS"/>
    </w:rPr>
  </w:style>
  <w:style w:type="character" w:customStyle="1" w:styleId="CharStyle18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">
    <w:name w:val="Основной текст (5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5) + Полужирный"/>
    <w:basedOn w:val="CharStyle2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4">
    <w:name w:val="Основной текст (5)"/>
    <w:basedOn w:val="CharStyle2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7) Exact"/>
    <w:basedOn w:val="DefaultParagraphFont"/>
    <w:link w:val="Style2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3"/>
    </w:rPr>
  </w:style>
  <w:style w:type="character" w:customStyle="1" w:styleId="CharStyle27">
    <w:name w:val="Основной текст (7) Exact"/>
    <w:basedOn w:val="CharStyle26"/>
    <w:rPr>
      <w:lang w:val="ru-RU" w:eastAsia="ru-RU" w:bidi="ru-RU"/>
      <w:w w:val="100"/>
      <w:color w:val="000000"/>
      <w:position w:val="0"/>
    </w:rPr>
  </w:style>
  <w:style w:type="character" w:customStyle="1" w:styleId="CharStyle29">
    <w:name w:val="Основной текст (8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character" w:customStyle="1" w:styleId="CharStyle30">
    <w:name w:val="Основной текст (8) Exact"/>
    <w:basedOn w:val="CharStyle29"/>
    <w:rPr>
      <w:lang w:val="ru-RU" w:eastAsia="ru-RU" w:bidi="ru-RU"/>
      <w:w w:val="10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4">
    <w:name w:val="Основной текст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5">
    <w:name w:val="Основной текст (6)"/>
    <w:basedOn w:val="CharStyle3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6">
    <w:name w:val="Основной текст + Полужирный"/>
    <w:basedOn w:val="CharStyle3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3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8">
    <w:name w:val="Основной текст + 10 pt,Полужирный"/>
    <w:basedOn w:val="CharStyle34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9">
    <w:name w:val="Основной текст"/>
    <w:basedOn w:val="CharStyle3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1">
    <w:name w:val="Основной текст (9)_"/>
    <w:basedOn w:val="DefaultParagraphFont"/>
    <w:link w:val="Style4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2">
    <w:name w:val="Основной текст (9) + Полужирный"/>
    <w:basedOn w:val="CharStyle41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3">
    <w:name w:val="Основной текст (9) + Полужирный"/>
    <w:basedOn w:val="CharStyle41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120" w:line="259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before="120" w:after="30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300" w:after="30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right"/>
      <w:outlineLvl w:val="0"/>
      <w:spacing w:before="300" w:after="60" w:line="0" w:lineRule="exact"/>
    </w:pPr>
    <w:rPr>
      <w:b/>
      <w:bCs/>
      <w:i/>
      <w:iCs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before="60" w:after="12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mic Sans MS" w:eastAsia="Comic Sans MS" w:hAnsi="Comic Sans MS" w:cs="Comic Sans MS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3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2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jc w:val="center"/>
      <w:spacing w:after="18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3">
    <w:name w:val="Основной текст"/>
    <w:basedOn w:val="Normal"/>
    <w:link w:val="CharStyle34"/>
    <w:pPr>
      <w:widowControl w:val="0"/>
      <w:shd w:val="clear" w:color="auto" w:fill="FFFFFF"/>
      <w:jc w:val="both"/>
      <w:spacing w:before="180" w:line="26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jc w:val="both"/>
      <w:spacing w:before="180" w:after="540" w:line="235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