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42" w:y="1419"/>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42" w:y="141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42" w:y="141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1075" w:after="0"/>
        <w:ind w:left="0" w:right="0" w:firstLine="0"/>
      </w:pPr>
      <w:r>
        <w:rPr>
          <w:lang w:val="ru-RU" w:eastAsia="ru-RU" w:bidi="ru-RU"/>
          <w:w w:val="100"/>
          <w:spacing w:val="0"/>
          <w:color w:val="000000"/>
          <w:position w:val="0"/>
        </w:rPr>
        <w:t xml:space="preserve"> Заказчик:</w:t>
      </w:r>
    </w:p>
    <w:p>
      <w:pPr>
        <w:pStyle w:val="Style7"/>
        <w:framePr w:h="245" w:wrap="around" w:vAnchor="text" w:hAnchor="margin" w:x="-57" w:y="1119"/>
        <w:widowControl w:val="0"/>
        <w:keepNext w:val="0"/>
        <w:keepLines w:val="0"/>
        <w:shd w:val="clear" w:color="auto" w:fill="auto"/>
        <w:bidi w:val="0"/>
        <w:jc w:val="left"/>
        <w:spacing w:before="0" w:after="0" w:line="240" w:lineRule="exact"/>
        <w:ind w:left="0" w:right="0" w:firstLine="0"/>
      </w:pPr>
      <w:r>
        <w:rPr>
          <w:rStyle w:val="CharStyle8"/>
          <w:spacing w:val="0"/>
        </w:rPr>
        <w:t>13.11.2017 № 06/13019</w:t>
      </w:r>
    </w:p>
    <w:p>
      <w:pPr>
        <w:pStyle w:val="Style7"/>
        <w:widowControl w:val="0"/>
        <w:keepNext w:val="0"/>
        <w:keepLines w:val="0"/>
        <w:shd w:val="clear" w:color="auto" w:fill="auto"/>
        <w:bidi w:val="0"/>
        <w:jc w:val="left"/>
        <w:spacing w:before="0" w:after="0"/>
        <w:ind w:left="0" w:right="520" w:firstLine="0"/>
      </w:pPr>
      <w:r>
        <w:rPr>
          <w:lang w:val="ru-RU" w:eastAsia="ru-RU" w:bidi="ru-RU"/>
          <w:w w:val="100"/>
          <w:spacing w:val="0"/>
          <w:color w:val="000000"/>
          <w:position w:val="0"/>
        </w:rPr>
        <w:t>Г осударственное бюджетное учреждение здравоохранения Республики Крым «Крымский республиканский клинический центр фтизиатрии и пульмонологии»</w:t>
      </w:r>
    </w:p>
    <w:p>
      <w:pPr>
        <w:pStyle w:val="Style7"/>
        <w:framePr w:h="240" w:wrap="around" w:vAnchor="text" w:hAnchor="margin" w:x="-90" w:y="78"/>
        <w:widowControl w:val="0"/>
        <w:keepNext w:val="0"/>
        <w:keepLines w:val="0"/>
        <w:shd w:val="clear" w:color="auto" w:fill="auto"/>
        <w:bidi w:val="0"/>
        <w:jc w:val="left"/>
        <w:spacing w:before="0" w:after="0" w:line="240" w:lineRule="exact"/>
        <w:ind w:left="0" w:right="0" w:firstLine="0"/>
      </w:pPr>
      <w:r>
        <w:rPr>
          <w:rStyle w:val="CharStyle8"/>
          <w:spacing w:val="0"/>
        </w:rPr>
        <w:t>На № 16 от 07.11.2017</w:t>
      </w:r>
    </w:p>
    <w:p>
      <w:pPr>
        <w:pStyle w:val="Style7"/>
        <w:widowControl w:val="0"/>
        <w:keepNext w:val="0"/>
        <w:keepLines w:val="0"/>
        <w:shd w:val="clear" w:color="auto" w:fill="auto"/>
        <w:bidi w:val="0"/>
        <w:jc w:val="left"/>
        <w:spacing w:before="0" w:after="240"/>
        <w:ind w:left="4960" w:right="1400"/>
      </w:pPr>
      <w:r>
        <w:rPr>
          <w:lang w:val="ru-RU" w:eastAsia="ru-RU" w:bidi="ru-RU"/>
          <w:w w:val="100"/>
          <w:spacing w:val="0"/>
          <w:color w:val="000000"/>
          <w:position w:val="0"/>
        </w:rPr>
        <w:t>295034, Республика Крым, г. Симферополь, б-р Франко, д. 34</w:t>
      </w:r>
    </w:p>
    <w:p>
      <w:pPr>
        <w:pStyle w:val="Style7"/>
        <w:numPr>
          <w:ilvl w:val="0"/>
          <w:numId w:val="1"/>
        </w:numPr>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60" w:right="154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4960" w:right="1540" w:firstLine="0"/>
      </w:pPr>
      <w:r>
        <w:rPr>
          <w:lang w:val="ru-RU" w:eastAsia="ru-RU" w:bidi="ru-RU"/>
          <w:w w:val="100"/>
          <w:spacing w:val="0"/>
          <w:color w:val="000000"/>
          <w:position w:val="0"/>
        </w:rPr>
        <w:t>295022, Республика Крым, г. Симферополь,</w:t>
      </w:r>
    </w:p>
    <w:p>
      <w:pPr>
        <w:pStyle w:val="Style7"/>
        <w:widowControl w:val="0"/>
        <w:keepNext w:val="0"/>
        <w:keepLines w:val="0"/>
        <w:shd w:val="clear" w:color="auto" w:fill="auto"/>
        <w:bidi w:val="0"/>
        <w:jc w:val="left"/>
        <w:spacing w:before="0" w:after="240"/>
        <w:ind w:left="4960" w:right="0" w:firstLine="0"/>
      </w:pPr>
      <w:r>
        <w:rPr>
          <w:lang w:val="ru-RU" w:eastAsia="ru-RU" w:bidi="ru-RU"/>
          <w:w w:val="100"/>
          <w:spacing w:val="0"/>
          <w:color w:val="000000"/>
          <w:position w:val="0"/>
        </w:rPr>
        <w:t>ул. Кечкеметская, д. 198 (1 этаж)</w:t>
      </w:r>
    </w:p>
    <w:p>
      <w:pPr>
        <w:pStyle w:val="Style7"/>
        <w:numPr>
          <w:ilvl w:val="0"/>
          <w:numId w:val="1"/>
        </w:numPr>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60" w:right="1260" w:firstLine="0"/>
      </w:pPr>
      <w:r>
        <w:rPr>
          <w:lang w:val="ru-RU" w:eastAsia="ru-RU" w:bidi="ru-RU"/>
          <w:w w:val="100"/>
          <w:spacing w:val="0"/>
          <w:color w:val="000000"/>
          <w:position w:val="0"/>
        </w:rPr>
        <w:t>Общество с ограниченной ответственностью «НОВОСТРОЙ»</w:t>
      </w:r>
    </w:p>
    <w:p>
      <w:pPr>
        <w:pStyle w:val="Style7"/>
        <w:widowControl w:val="0"/>
        <w:keepNext w:val="0"/>
        <w:keepLines w:val="0"/>
        <w:shd w:val="clear" w:color="auto" w:fill="auto"/>
        <w:bidi w:val="0"/>
        <w:jc w:val="left"/>
        <w:spacing w:before="0" w:after="244"/>
        <w:ind w:left="4960" w:right="520" w:firstLine="0"/>
      </w:pPr>
      <w:r>
        <w:rPr>
          <w:lang w:val="ru-RU" w:eastAsia="ru-RU" w:bidi="ru-RU"/>
          <w:w w:val="100"/>
          <w:spacing w:val="0"/>
          <w:color w:val="000000"/>
          <w:position w:val="0"/>
        </w:rPr>
        <w:t>111399, г. Москва, пр. Федеративный, д. 5, корп.1, пом. 1, ком. 5</w:t>
      </w:r>
    </w:p>
    <w:p>
      <w:pPr>
        <w:pStyle w:val="Style7"/>
        <w:numPr>
          <w:ilvl w:val="0"/>
          <w:numId w:val="1"/>
        </w:numPr>
        <w:widowControl w:val="0"/>
        <w:keepNext w:val="0"/>
        <w:keepLines w:val="0"/>
        <w:shd w:val="clear" w:color="auto" w:fill="auto"/>
        <w:bidi w:val="0"/>
        <w:jc w:val="left"/>
        <w:spacing w:before="0" w:after="0" w:line="317" w:lineRule="exact"/>
        <w:ind w:left="4960" w:right="0" w:firstLine="0"/>
      </w:pPr>
      <w:r>
        <w:rPr>
          <w:lang w:val="ru-RU" w:eastAsia="ru-RU" w:bidi="ru-RU"/>
          <w:w w:val="100"/>
          <w:spacing w:val="0"/>
          <w:color w:val="000000"/>
          <w:position w:val="0"/>
        </w:rPr>
        <w:t xml:space="preserve"> Электронная площадка:</w:t>
      </w:r>
    </w:p>
    <w:p>
      <w:pPr>
        <w:pStyle w:val="Style7"/>
        <w:widowControl w:val="0"/>
        <w:keepNext w:val="0"/>
        <w:keepLines w:val="0"/>
        <w:shd w:val="clear" w:color="auto" w:fill="auto"/>
        <w:bidi w:val="0"/>
        <w:jc w:val="left"/>
        <w:spacing w:before="0" w:after="0" w:line="317" w:lineRule="exact"/>
        <w:ind w:left="4960" w:right="520" w:firstLine="0"/>
      </w:pPr>
      <w:r>
        <w:rPr>
          <w:lang w:val="ru-RU" w:eastAsia="ru-RU" w:bidi="ru-RU"/>
          <w:w w:val="100"/>
          <w:spacing w:val="0"/>
          <w:color w:val="000000"/>
          <w:position w:val="0"/>
        </w:rPr>
        <w:t>АО «Единая электронная торговая площадка» АО «ЕЭТП»</w:t>
      </w:r>
    </w:p>
    <w:p>
      <w:pPr>
        <w:pStyle w:val="Style7"/>
        <w:widowControl w:val="0"/>
        <w:keepNext w:val="0"/>
        <w:keepLines w:val="0"/>
        <w:shd w:val="clear" w:color="auto" w:fill="auto"/>
        <w:bidi w:val="0"/>
        <w:jc w:val="left"/>
        <w:spacing w:before="0" w:after="0" w:line="317" w:lineRule="exact"/>
        <w:ind w:left="4960" w:right="0" w:firstLine="0"/>
      </w:pPr>
      <w:r>
        <w:rPr>
          <w:lang w:val="ru-RU" w:eastAsia="ru-RU" w:bidi="ru-RU"/>
          <w:w w:val="100"/>
          <w:spacing w:val="0"/>
          <w:color w:val="000000"/>
          <w:position w:val="0"/>
        </w:rPr>
        <w:t>115114, г. Москва,</w:t>
      </w:r>
    </w:p>
    <w:p>
      <w:pPr>
        <w:pStyle w:val="Style7"/>
        <w:widowControl w:val="0"/>
        <w:keepNext w:val="0"/>
        <w:keepLines w:val="0"/>
        <w:shd w:val="clear" w:color="auto" w:fill="auto"/>
        <w:bidi w:val="0"/>
        <w:jc w:val="left"/>
        <w:spacing w:before="0" w:after="236" w:line="317" w:lineRule="exact"/>
        <w:ind w:left="4960" w:right="0" w:firstLine="0"/>
      </w:pPr>
      <w:r>
        <w:rPr>
          <w:lang w:val="ru-RU" w:eastAsia="ru-RU" w:bidi="ru-RU"/>
          <w:w w:val="100"/>
          <w:spacing w:val="0"/>
          <w:color w:val="000000"/>
          <w:position w:val="0"/>
        </w:rPr>
        <w:t>ул. Кожевническая, д. 14, стр. 5</w:t>
      </w:r>
    </w:p>
    <w:p>
      <w:pPr>
        <w:pStyle w:val="Style10"/>
        <w:widowControl w:val="0"/>
        <w:keepNext w:val="0"/>
        <w:keepLines w:val="0"/>
        <w:shd w:val="clear" w:color="auto" w:fill="auto"/>
        <w:bidi w:val="0"/>
        <w:spacing w:before="0" w:after="289"/>
        <w:ind w:left="280" w:right="0" w:firstLine="0"/>
      </w:pPr>
      <w:r>
        <w:rPr>
          <w:lang w:val="ru-RU" w:eastAsia="ru-RU" w:bidi="ru-RU"/>
          <w:w w:val="100"/>
          <w:spacing w:val="0"/>
          <w:color w:val="000000"/>
          <w:position w:val="0"/>
        </w:rPr>
        <w:t>Решение по делу №06/4266-17 о нарушении законодательства Российской Федерации о контрактной системе в сфере закупок</w:t>
      </w:r>
    </w:p>
    <w:p>
      <w:pPr>
        <w:pStyle w:val="Style7"/>
        <w:tabs>
          <w:tab w:leader="none" w:pos="9938" w:val="right"/>
        </w:tabs>
        <w:widowControl w:val="0"/>
        <w:keepNext w:val="0"/>
        <w:keepLines w:val="0"/>
        <w:shd w:val="clear" w:color="auto" w:fill="auto"/>
        <w:bidi w:val="0"/>
        <w:jc w:val="both"/>
        <w:spacing w:before="0" w:after="133" w:line="260" w:lineRule="exact"/>
        <w:ind w:left="300" w:right="0" w:firstLine="0"/>
      </w:pPr>
      <w:r>
        <w:rPr>
          <w:lang w:val="ru-RU" w:eastAsia="ru-RU" w:bidi="ru-RU"/>
          <w:w w:val="100"/>
          <w:spacing w:val="0"/>
          <w:color w:val="000000"/>
          <w:position w:val="0"/>
        </w:rPr>
        <w:t>13.11.2017</w:t>
        <w:tab/>
        <w:t>г. Симферополь</w:t>
      </w:r>
    </w:p>
    <w:p>
      <w:pPr>
        <w:pStyle w:val="Style7"/>
        <w:widowControl w:val="0"/>
        <w:keepNext w:val="0"/>
        <w:keepLines w:val="0"/>
        <w:shd w:val="clear" w:color="auto" w:fill="auto"/>
        <w:bidi w:val="0"/>
        <w:jc w:val="both"/>
        <w:spacing w:before="0" w:after="0"/>
        <w:ind w:left="0" w:right="26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r>
        <w:br w:type="page"/>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Заказчика О. Р. Чубко (по доверенности),</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Уполномоченного органа Е. В. Купаревой (по доверенности), представители Заявителя на заседание Комиссии не явились, — рассмотрев жалобу Заявителя от 07.11.2017 № 16 (вх. №4850/09 от 08.11.2017) на действия Заказчика при проведении электронного аукциона «Капитальный ремонт лечебного корпуса ГБУЗРК "Крымский республиканский клинический центр фтизиатрии и пульмонологии" ОСП "Белогорская туберкулезная больница", Белогорский р-н, с. Криничное» (номер извещения 0175200000417000462)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чем нарушены требования Закона о контрактной системе.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№06/12749,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09.10.2017, изменения - 23.10.2017;</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- 24 083 190,00рублей;</w:t>
      </w:r>
    </w:p>
    <w:p>
      <w:pPr>
        <w:pStyle w:val="Style7"/>
        <w:numPr>
          <w:ilvl w:val="0"/>
          <w:numId w:val="3"/>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дата и время окончания подачи заявок: 09.11.2017 08:00, дата окончания срока рассмотрения первых частей заявок участников: 16.11.2017, дата проведения Аукциона: 20.11.2017.</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жалобе Заявитель указывает на то, что Заказчиком, в техническом задании документации об Аукционе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капитальный ремонт объекта Заказчика, т.е. выполнение работ.</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5"/>
        </w:numPr>
        <w:tabs>
          <w:tab w:leader="none" w:pos="1306"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5"/>
        </w:numPr>
        <w:tabs>
          <w:tab w:leader="none" w:pos="1254"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следующие требования о соответствии товаров, используемых при выполнении работ, указанных Заявителем в жалобе: </w:t>
      </w:r>
      <w:r>
        <w:rPr>
          <w:rStyle w:val="CharStyle12"/>
        </w:rPr>
        <w:t>«...</w:t>
      </w:r>
    </w:p>
    <w:p>
      <w:pPr>
        <w:pStyle w:val="Style13"/>
        <w:framePr w:w="10224"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Приложение №1 </w:t>
      </w:r>
      <w:r>
        <w:rPr>
          <w:rStyle w:val="CharStyle15"/>
          <w:b/>
          <w:bCs/>
        </w:rPr>
        <w:t>к Техническому заданию</w:t>
      </w:r>
    </w:p>
    <w:tbl>
      <w:tblPr>
        <w:tblOverlap w:val="never"/>
        <w:tblLayout w:type="fixed"/>
        <w:jc w:val="center"/>
      </w:tblPr>
      <w:tblGrid>
        <w:gridCol w:w="859"/>
        <w:gridCol w:w="9365"/>
      </w:tblGrid>
      <w:tr>
        <w:trPr>
          <w:trHeight w:val="715"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60" w:line="200" w:lineRule="exact"/>
              <w:ind w:left="0" w:right="0" w:firstLine="0"/>
            </w:pPr>
            <w:r>
              <w:rPr>
                <w:rStyle w:val="CharStyle16"/>
              </w:rPr>
              <w:t>№</w:t>
            </w:r>
          </w:p>
          <w:p>
            <w:pPr>
              <w:pStyle w:val="Style7"/>
              <w:framePr w:w="10224" w:wrap="notBeside" w:vAnchor="text" w:hAnchor="text" w:xAlign="center" w:y="1"/>
              <w:widowControl w:val="0"/>
              <w:keepNext w:val="0"/>
              <w:keepLines w:val="0"/>
              <w:shd w:val="clear" w:color="auto" w:fill="auto"/>
              <w:bidi w:val="0"/>
              <w:jc w:val="left"/>
              <w:spacing w:before="60" w:after="0" w:line="200" w:lineRule="exact"/>
              <w:ind w:left="300" w:right="0" w:firstLine="0"/>
            </w:pPr>
            <w:r>
              <w:rPr>
                <w:rStyle w:val="CharStyle16"/>
              </w:rPr>
              <w:t>п/п</w:t>
            </w:r>
          </w:p>
        </w:tc>
        <w:tc>
          <w:tcPr>
            <w:shd w:val="clear" w:color="auto" w:fill="FFFFFF"/>
            <w:tcBorders>
              <w:left w:val="single" w:sz="4"/>
              <w:righ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16"/>
              </w:rPr>
              <w:t>Наименование товара (материала). Качественные характеристики, минимальные и максимальные значения, а так же значения которые не могут изменяться.</w:t>
            </w:r>
          </w:p>
        </w:tc>
      </w:tr>
      <w:tr>
        <w:trPr>
          <w:trHeight w:val="26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38"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38</w:t>
            </w:r>
          </w:p>
        </w:tc>
        <w:tc>
          <w:tcPr>
            <w:shd w:val="clear" w:color="auto" w:fill="FFFFFF"/>
            <w:tcBorders>
              <w:left w:val="single" w:sz="4"/>
              <w:right w:val="single" w:sz="4"/>
              <w:top w:val="single" w:sz="4"/>
            </w:tcBorders>
            <w:vAlign w:val="bottom"/>
          </w:tcPr>
          <w:p>
            <w:pPr>
              <w:pStyle w:val="Style7"/>
              <w:framePr w:w="10224" w:wrap="notBeside" w:vAnchor="text" w:hAnchor="text" w:xAlign="center" w:y="1"/>
              <w:tabs>
                <w:tab w:leader="dot" w:pos="3989" w:val="left"/>
              </w:tabs>
              <w:widowControl w:val="0"/>
              <w:keepNext w:val="0"/>
              <w:keepLines w:val="0"/>
              <w:shd w:val="clear" w:color="auto" w:fill="auto"/>
              <w:bidi w:val="0"/>
              <w:jc w:val="both"/>
              <w:spacing w:before="0" w:after="60" w:line="210" w:lineRule="exact"/>
              <w:ind w:left="0" w:right="0" w:firstLine="0"/>
            </w:pPr>
            <w:r>
              <w:rPr>
                <w:rStyle w:val="CharStyle17"/>
              </w:rPr>
              <w:t>Портландцемент по ГОСТ 31108-2016</w:t>
              <w:tab/>
              <w:t>Содержание портландцементного клинкера, масс.</w:t>
            </w:r>
          </w:p>
          <w:p>
            <w:pPr>
              <w:pStyle w:val="Style7"/>
              <w:framePr w:w="10224" w:wrap="notBeside" w:vAnchor="text" w:hAnchor="text" w:xAlign="center" w:y="1"/>
              <w:tabs>
                <w:tab w:leader="dot" w:pos="1214" w:val="left"/>
              </w:tabs>
              <w:widowControl w:val="0"/>
              <w:keepNext w:val="0"/>
              <w:keepLines w:val="0"/>
              <w:shd w:val="clear" w:color="auto" w:fill="auto"/>
              <w:bidi w:val="0"/>
              <w:jc w:val="both"/>
              <w:spacing w:before="60" w:after="0" w:line="210" w:lineRule="exact"/>
              <w:ind w:left="0" w:right="0" w:firstLine="0"/>
            </w:pPr>
            <w:r>
              <w:rPr>
                <w:rStyle w:val="CharStyle17"/>
              </w:rPr>
              <w:t>%: до 100</w:t>
              <w:tab/>
              <w:t>Содержание вспомогательных компонентов, масс. %: до 5..</w:t>
            </w:r>
          </w:p>
        </w:tc>
      </w:tr>
      <w:tr>
        <w:trPr>
          <w:trHeight w:val="26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514" w:hRule="exact"/>
        </w:trPr>
        <w:tc>
          <w:tcPr>
            <w:shd w:val="clear" w:color="auto" w:fill="FFFFFF"/>
            <w:tcBorders>
              <w:lef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300" w:firstLine="0"/>
            </w:pPr>
            <w:r>
              <w:rPr>
                <w:rStyle w:val="CharStyle17"/>
              </w:rPr>
              <w:t>103</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4" w:lineRule="exact"/>
              <w:ind w:left="180" w:right="0" w:firstLine="0"/>
            </w:pPr>
            <w:r>
              <w:rPr>
                <w:rStyle w:val="CharStyle17"/>
              </w:rPr>
              <w:t>Щебень из метаморфических или осадочных или изверженных пород или из гравия Содержание зерен пластинчатой (лещадной) и игловатой формы, % по массе: до 25.</w:t>
            </w:r>
          </w:p>
        </w:tc>
      </w:tr>
      <w:tr>
        <w:trPr>
          <w:trHeight w:val="1541" w:hRule="exact"/>
        </w:trPr>
        <w:tc>
          <w:tcPr>
            <w:shd w:val="clear" w:color="auto" w:fill="FFFFFF"/>
            <w:tcBorders>
              <w:left w:val="single" w:sz="4"/>
              <w:top w:val="single" w:sz="4"/>
              <w:bottom w:val="single" w:sz="4"/>
            </w:tcBorders>
            <w:vAlign w:val="center"/>
          </w:tcPr>
          <w:p>
            <w:pPr>
              <w:pStyle w:val="Style7"/>
              <w:framePr w:w="10224" w:wrap="notBeside" w:vAnchor="text" w:hAnchor="text" w:xAlign="center" w:y="1"/>
              <w:widowControl w:val="0"/>
              <w:keepNext w:val="0"/>
              <w:keepLines w:val="0"/>
              <w:shd w:val="clear" w:color="auto" w:fill="auto"/>
              <w:bidi w:val="0"/>
              <w:jc w:val="right"/>
              <w:spacing w:before="0" w:after="0" w:line="210" w:lineRule="exact"/>
              <w:ind w:left="0" w:right="300" w:firstLine="0"/>
            </w:pPr>
            <w:r>
              <w:rPr>
                <w:rStyle w:val="CharStyle17"/>
              </w:rPr>
              <w:t>104</w:t>
            </w:r>
          </w:p>
        </w:tc>
        <w:tc>
          <w:tcPr>
            <w:shd w:val="clear" w:color="auto" w:fill="FFFFFF"/>
            <w:tcBorders>
              <w:left w:val="single" w:sz="4"/>
              <w:right w:val="single" w:sz="4"/>
              <w:top w:val="single" w:sz="4"/>
              <w:bottom w:val="single" w:sz="4"/>
            </w:tcBorders>
            <w:vAlign w:val="bottom"/>
          </w:tcPr>
          <w:p>
            <w:pPr>
              <w:pStyle w:val="Style7"/>
              <w:framePr w:w="10224" w:wrap="notBeside" w:vAnchor="text" w:hAnchor="text" w:xAlign="center" w:y="1"/>
              <w:tabs>
                <w:tab w:leader="dot" w:pos="5184" w:val="left"/>
              </w:tabs>
              <w:widowControl w:val="0"/>
              <w:keepNext w:val="0"/>
              <w:keepLines w:val="0"/>
              <w:shd w:val="clear" w:color="auto" w:fill="auto"/>
              <w:bidi w:val="0"/>
              <w:jc w:val="both"/>
              <w:spacing w:before="0" w:after="0" w:line="254" w:lineRule="exact"/>
              <w:ind w:left="0" w:right="0" w:firstLine="0"/>
            </w:pPr>
            <w:r>
              <w:rPr>
                <w:rStyle w:val="CharStyle17"/>
              </w:rPr>
              <w:t>Песок для строительных работ по ГОСТ 8736-2014</w:t>
              <w:tab/>
              <w:t>Частный остаток песка на сите:</w:t>
            </w:r>
          </w:p>
          <w:p>
            <w:pPr>
              <w:pStyle w:val="Style7"/>
              <w:numPr>
                <w:ilvl w:val="0"/>
                <w:numId w:val="7"/>
              </w:numPr>
              <w:framePr w:w="10224" w:wrap="notBeside" w:vAnchor="text" w:hAnchor="text" w:xAlign="center" w:y="1"/>
              <w:tabs>
                <w:tab w:leader="none" w:pos="120" w:val="left"/>
              </w:tabs>
              <w:widowControl w:val="0"/>
              <w:keepNext w:val="0"/>
              <w:keepLines w:val="0"/>
              <w:shd w:val="clear" w:color="auto" w:fill="auto"/>
              <w:bidi w:val="0"/>
              <w:jc w:val="both"/>
              <w:spacing w:before="0" w:after="0" w:line="254" w:lineRule="exact"/>
              <w:ind w:left="0" w:right="0" w:firstLine="0"/>
            </w:pPr>
            <w:r>
              <w:rPr>
                <w:rStyle w:val="CharStyle17"/>
              </w:rPr>
              <w:t>с круглыми отверстиями диаметром 2,5 мм: не более 20,0 % по массе;</w:t>
            </w:r>
          </w:p>
          <w:p>
            <w:pPr>
              <w:pStyle w:val="Style7"/>
              <w:numPr>
                <w:ilvl w:val="0"/>
                <w:numId w:val="7"/>
              </w:numPr>
              <w:framePr w:w="10224" w:wrap="notBeside" w:vAnchor="text" w:hAnchor="text" w:xAlign="center" w:y="1"/>
              <w:tabs>
                <w:tab w:leader="none" w:pos="115" w:val="left"/>
              </w:tabs>
              <w:widowControl w:val="0"/>
              <w:keepNext w:val="0"/>
              <w:keepLines w:val="0"/>
              <w:shd w:val="clear" w:color="auto" w:fill="auto"/>
              <w:bidi w:val="0"/>
              <w:jc w:val="both"/>
              <w:spacing w:before="0" w:after="0" w:line="254" w:lineRule="exact"/>
              <w:ind w:left="0" w:right="0" w:firstLine="0"/>
            </w:pPr>
            <w:r>
              <w:rPr>
                <w:rStyle w:val="CharStyle17"/>
              </w:rPr>
              <w:t>№1,25: не более 20,0 % по массе;</w:t>
            </w:r>
          </w:p>
          <w:p>
            <w:pPr>
              <w:pStyle w:val="Style7"/>
              <w:numPr>
                <w:ilvl w:val="0"/>
                <w:numId w:val="7"/>
              </w:numPr>
              <w:framePr w:w="10224" w:wrap="notBeside" w:vAnchor="text" w:hAnchor="text" w:xAlign="center" w:y="1"/>
              <w:tabs>
                <w:tab w:leader="none" w:pos="115" w:val="left"/>
              </w:tabs>
              <w:widowControl w:val="0"/>
              <w:keepNext w:val="0"/>
              <w:keepLines w:val="0"/>
              <w:shd w:val="clear" w:color="auto" w:fill="auto"/>
              <w:bidi w:val="0"/>
              <w:jc w:val="both"/>
              <w:spacing w:before="0" w:after="0" w:line="254" w:lineRule="exact"/>
              <w:ind w:left="0" w:right="0" w:firstLine="0"/>
            </w:pPr>
            <w:r>
              <w:rPr>
                <w:rStyle w:val="CharStyle17"/>
              </w:rPr>
              <w:t>№063: не более 20,0 % по массе;</w:t>
            </w:r>
          </w:p>
          <w:p>
            <w:pPr>
              <w:pStyle w:val="Style7"/>
              <w:numPr>
                <w:ilvl w:val="0"/>
                <w:numId w:val="7"/>
              </w:numPr>
              <w:framePr w:w="10224" w:wrap="notBeside" w:vAnchor="text" w:hAnchor="text" w:xAlign="center" w:y="1"/>
              <w:tabs>
                <w:tab w:leader="none" w:pos="115" w:val="left"/>
              </w:tabs>
              <w:widowControl w:val="0"/>
              <w:keepNext w:val="0"/>
              <w:keepLines w:val="0"/>
              <w:shd w:val="clear" w:color="auto" w:fill="auto"/>
              <w:bidi w:val="0"/>
              <w:jc w:val="both"/>
              <w:spacing w:before="0" w:after="0" w:line="254" w:lineRule="exact"/>
              <w:ind w:left="0" w:right="0" w:firstLine="0"/>
            </w:pPr>
            <w:r>
              <w:rPr>
                <w:rStyle w:val="CharStyle17"/>
              </w:rPr>
              <w:t>№0315: не более 45,0 % по массе;</w:t>
            </w:r>
          </w:p>
          <w:p>
            <w:pPr>
              <w:pStyle w:val="Style7"/>
              <w:numPr>
                <w:ilvl w:val="0"/>
                <w:numId w:val="7"/>
              </w:numPr>
              <w:framePr w:w="10224" w:wrap="notBeside" w:vAnchor="text" w:hAnchor="text" w:xAlign="center" w:y="1"/>
              <w:tabs>
                <w:tab w:leader="none" w:pos="115" w:val="left"/>
              </w:tabs>
              <w:widowControl w:val="0"/>
              <w:keepNext w:val="0"/>
              <w:keepLines w:val="0"/>
              <w:shd w:val="clear" w:color="auto" w:fill="auto"/>
              <w:bidi w:val="0"/>
              <w:jc w:val="both"/>
              <w:spacing w:before="0" w:after="0" w:line="254" w:lineRule="exact"/>
              <w:ind w:left="0" w:right="0" w:firstLine="0"/>
            </w:pPr>
            <w:r>
              <w:rPr>
                <w:rStyle w:val="CharStyle17"/>
              </w:rPr>
              <w:t>№016: не более 45,0 % по массе.</w:t>
            </w:r>
          </w:p>
        </w:tc>
      </w:tr>
    </w:tbl>
    <w:p>
      <w:pPr>
        <w:widowControl w:val="0"/>
        <w:rPr>
          <w:sz w:val="2"/>
          <w:szCs w:val="2"/>
        </w:rPr>
      </w:pPr>
    </w:p>
    <w:tbl>
      <w:tblPr>
        <w:tblOverlap w:val="never"/>
        <w:tblLayout w:type="fixed"/>
        <w:jc w:val="center"/>
      </w:tblPr>
      <w:tblGrid>
        <w:gridCol w:w="859"/>
        <w:gridCol w:w="9365"/>
      </w:tblGrid>
      <w:tr>
        <w:trPr>
          <w:trHeight w:val="538" w:hRule="exact"/>
        </w:trPr>
        <w:tc>
          <w:tcPr>
            <w:shd w:val="clear" w:color="auto" w:fill="FFFFFF"/>
            <w:tcBorders>
              <w:left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17"/>
              </w:rPr>
              <w:t>Содержание пылевидных и глинистых частиц, % по массе: до 5. Содержание глины в комках: до 0,5% по массе.</w:t>
            </w:r>
          </w:p>
        </w:tc>
      </w:tr>
      <w:tr>
        <w:trPr>
          <w:trHeight w:val="274" w:hRule="exact"/>
        </w:trPr>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24" w:wrap="notBeside" w:vAnchor="text" w:hAnchor="text" w:xAlign="center" w:y="1"/>
              <w:widowControl w:val="0"/>
              <w:rPr>
                <w:sz w:val="10"/>
                <w:szCs w:val="10"/>
              </w:rPr>
            </w:pPr>
          </w:p>
        </w:tc>
      </w:tr>
    </w:tbl>
    <w:p>
      <w:pPr>
        <w:pStyle w:val="Style18"/>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0"/>
        </w:rPr>
        <w:t>....»</w:t>
      </w:r>
      <w:r>
        <w:rPr>
          <w:lang w:val="ru-RU" w:eastAsia="ru-RU" w:bidi="ru-RU"/>
          <w:w w:val="100"/>
          <w:spacing w:val="0"/>
          <w:color w:val="000000"/>
          <w:position w:val="0"/>
        </w:rPr>
        <w:t xml:space="preserve"> (цитаты).</w:t>
      </w:r>
    </w:p>
    <w:p>
      <w:pPr>
        <w:widowControl w:val="0"/>
        <w:rPr>
          <w:sz w:val="2"/>
          <w:szCs w:val="2"/>
        </w:rPr>
      </w:pP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доводы Заявителя, изложенные в жалобе, нашли свое подтверждение.</w:t>
      </w:r>
    </w:p>
    <w:p>
      <w:pPr>
        <w:pStyle w:val="Style7"/>
        <w:numPr>
          <w:ilvl w:val="0"/>
          <w:numId w:val="9"/>
        </w:numPr>
        <w:tabs>
          <w:tab w:leader="none" w:pos="1244"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Комиссией установлено, что 13.11.2017 Комиссией Крымского УФАС России рассмотрена жалоба общества с ограниченной ответственностью «РегионСтройСервисАвтоматика» (дело №06/4265-17) на действия Заказчика при проведении электронного аукциона «Капитальный ремонт лечебного корпуса ГБУЗРК "Крымский республиканский клинический центр фтизиатрии и пульмонологии" ОСП "Белогорская туберкулезная больница" , Белогорский р-н, с.Криничное» (номер извещения 0175200000417000462).</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 признан нарушившим требования пункта 2 части 1 статьи 64, части 6 статьи 66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решения Комиссии от 13.11.2017 по делу №06/4265-17 Заказчику выдано предписание от 13.11.2017 по делу №06/4265-17 об устранении Заказчиком нарушений Закона о контрактной системе, а именно при рассмотрении заявок участников на участие в Аукционе не учитывать требований к товарам, используемых при выполнении работ с учетом решения от 13.11.2017 по делу №06/4265-17.</w:t>
      </w:r>
      <w:r>
        <w:br w:type="page"/>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Материалы дела №06/4265-17 переданы соответствующему должностному лицу Крымского УФАС России для рассмотрения вопроса о возбуждении дела об административном правонарушении в отношении Заказчика</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20" w:right="0" w:firstLine="0"/>
      </w:pPr>
      <w:r>
        <w:rPr>
          <w:lang w:val="ru-RU" w:eastAsia="ru-RU" w:bidi="ru-RU"/>
          <w:w w:val="100"/>
          <w:spacing w:val="0"/>
          <w:color w:val="000000"/>
          <w:position w:val="0"/>
        </w:rPr>
        <w:t>РЕШИЛА:</w:t>
      </w:r>
    </w:p>
    <w:p>
      <w:pPr>
        <w:pStyle w:val="Style7"/>
        <w:numPr>
          <w:ilvl w:val="0"/>
          <w:numId w:val="11"/>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1"/>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6 статьи 66 Закона о контрактной системе.</w:t>
      </w:r>
    </w:p>
    <w:p>
      <w:pPr>
        <w:pStyle w:val="Style7"/>
        <w:numPr>
          <w:ilvl w:val="0"/>
          <w:numId w:val="11"/>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предписание об устранении нарушений законодательства Российской Федерации о контрактной системе в сфере закупок не выдавать, т.к. по установленным нарушениям выдано предписание по делу №06/4265-17.</w:t>
      </w:r>
    </w:p>
    <w:p>
      <w:pPr>
        <w:pStyle w:val="Style7"/>
        <w:numPr>
          <w:ilvl w:val="0"/>
          <w:numId w:val="11"/>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Материалы по делу №06/4266-17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 в виду передачи материалов дела №06/4265-17.</w:t>
      </w:r>
    </w:p>
    <w:p>
      <w:pPr>
        <w:pStyle w:val="Style7"/>
        <w:numPr>
          <w:ilvl w:val="0"/>
          <w:numId w:val="11"/>
        </w:numPr>
        <w:widowControl w:val="0"/>
        <w:keepNext w:val="0"/>
        <w:keepLines w:val="0"/>
        <w:shd w:val="clear" w:color="auto" w:fill="auto"/>
        <w:bidi w:val="0"/>
        <w:jc w:val="both"/>
        <w:spacing w:before="0" w:after="64"/>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№06/12749</w:t>
      </w:r>
    </w:p>
    <w:p>
      <w:pPr>
        <w:pStyle w:val="Style7"/>
        <w:framePr w:w="2158" w:h="1934" w:wrap="around" w:vAnchor="text" w:hAnchor="margin" w:x="7823" w:y="970"/>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both"/>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43" w:lineRule="exact"/>
        <w:ind w:left="0" w:right="324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footnotePr>
        <w:pos w:val="pageBottom"/>
        <w:numFmt w:val="decimal"/>
        <w:numRestart w:val="continuous"/>
      </w:footnotePr>
      <w:type w:val="continuous"/>
      <w:pgSz w:w="11906" w:h="16838"/>
      <w:pgMar w:top="1357" w:left="807" w:right="639" w:bottom="87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w w:val="100"/>
      <w:spacing w:val="0"/>
      <w:color w:val="000000"/>
      <w:position w:val="0"/>
    </w:rPr>
  </w:style>
  <w:style w:type="character" w:customStyle="1" w:styleId="CharStyle14">
    <w:name w:val="Подпись к таблице_"/>
    <w:basedOn w:val="DefaultParagraphFont"/>
    <w:link w:val="Style13"/>
    <w:rPr>
      <w:b/>
      <w:bCs/>
      <w:i w:val="0"/>
      <w:iCs w:val="0"/>
      <w:u w:val="none"/>
      <w:strike w:val="0"/>
      <w:smallCaps w:val="0"/>
      <w:sz w:val="23"/>
      <w:szCs w:val="23"/>
      <w:rFonts w:ascii="Times New Roman" w:eastAsia="Times New Roman" w:hAnsi="Times New Roman" w:cs="Times New Roman"/>
    </w:rPr>
  </w:style>
  <w:style w:type="character" w:customStyle="1" w:styleId="CharStyle15">
    <w:name w:val="Подпись к таблице"/>
    <w:basedOn w:val="CharStyle14"/>
    <w:rPr>
      <w:lang w:val="ru-RU" w:eastAsia="ru-RU" w:bidi="ru-RU"/>
      <w:u w:val="single"/>
      <w:w w:val="100"/>
      <w:spacing w:val="0"/>
      <w:color w:val="000000"/>
      <w:position w:val="0"/>
    </w:rPr>
  </w:style>
  <w:style w:type="character" w:customStyle="1" w:styleId="CharStyle16">
    <w:name w:val="Основной текст + 10 pt,Полужирный"/>
    <w:basedOn w:val="CharStyle9"/>
    <w:rPr>
      <w:lang w:val="ru-RU" w:eastAsia="ru-RU" w:bidi="ru-RU"/>
      <w:b/>
      <w:bCs/>
      <w:sz w:val="20"/>
      <w:szCs w:val="20"/>
      <w:w w:val="100"/>
      <w:spacing w:val="0"/>
      <w:color w:val="000000"/>
      <w:position w:val="0"/>
    </w:rPr>
  </w:style>
  <w:style w:type="character" w:customStyle="1" w:styleId="CharStyle17">
    <w:name w:val="Основной текст + 10,5 pt"/>
    <w:basedOn w:val="CharStyle9"/>
    <w:rPr>
      <w:lang w:val="ru-RU" w:eastAsia="ru-RU" w:bidi="ru-RU"/>
      <w:sz w:val="21"/>
      <w:szCs w:val="21"/>
      <w:w w:val="100"/>
      <w:spacing w:val="0"/>
      <w:color w:val="000000"/>
      <w:position w:val="0"/>
    </w:rPr>
  </w:style>
  <w:style w:type="character" w:customStyle="1" w:styleId="CharStyle19">
    <w:name w:val="Подпись к таблице (2)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Подпись к таблице (2)"/>
    <w:basedOn w:val="CharStyle19"/>
    <w:rPr>
      <w:lang w:val="ru-RU" w:eastAsia="ru-RU" w:bidi="ru-RU"/>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22" w:lineRule="exact"/>
      <w:ind w:hanging="270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Подпись к таблице"/>
    <w:basedOn w:val="Normal"/>
    <w:link w:val="CharStyle14"/>
    <w:pPr>
      <w:widowControl w:val="0"/>
      <w:shd w:val="clear" w:color="auto" w:fill="FFFFFF"/>
      <w:spacing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Подпись к таблице (2)"/>
    <w:basedOn w:val="Normal"/>
    <w:link w:val="CharStyle19"/>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