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60" w:left="2660" w:right="8338" w:bottom="902" w:header="0" w:footer="3" w:gutter="0"/>
          <w:rtlGutter w:val="0"/>
          <w:cols w:space="720"/>
          <w:noEndnote/>
          <w:docGrid w:linePitch="360"/>
        </w:sect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18" w:val="left"/>
        </w:tabs>
        <w:widowControl w:val="0"/>
        <w:keepNext w:val="0"/>
        <w:keepLines w:val="0"/>
        <w:shd w:val="clear" w:color="auto" w:fill="auto"/>
        <w:bidi w:val="0"/>
        <w:jc w:val="left"/>
        <w:spacing w:before="0" w:after="0"/>
        <w:ind w:left="40" w:right="1560" w:firstLine="0"/>
      </w:pPr>
      <w:r>
        <w:rPr>
          <w:lang w:val="ru-RU" w:eastAsia="ru-RU" w:bidi="ru-RU"/>
          <w:w w:val="100"/>
          <w:spacing w:val="0"/>
          <w:color w:val="000000"/>
          <w:position w:val="0"/>
        </w:rPr>
        <w:t>№ 06/13082 На № 1-07/11 от 07.11.2017</w:t>
      </w:r>
    </w:p>
    <w:p>
      <w:pPr>
        <w:pStyle w:val="Style7"/>
        <w:numPr>
          <w:ilvl w:val="0"/>
          <w:numId w:val="3"/>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Государственное бюджетное учреждение Республики Крым «Специализированная детско-юношеская спортивная школа олимпийского резерва по пулевой стрельбе»</w:t>
      </w:r>
    </w:p>
    <w:p>
      <w:pPr>
        <w:pStyle w:val="Style7"/>
        <w:widowControl w:val="0"/>
        <w:keepNext w:val="0"/>
        <w:keepLines w:val="0"/>
        <w:shd w:val="clear" w:color="auto" w:fill="auto"/>
        <w:bidi w:val="0"/>
        <w:jc w:val="left"/>
        <w:spacing w:before="0" w:after="300" w:line="322" w:lineRule="exact"/>
        <w:ind w:left="20" w:right="800" w:firstLine="0"/>
      </w:pPr>
      <w:r>
        <w:rPr>
          <w:lang w:val="ru-RU" w:eastAsia="ru-RU" w:bidi="ru-RU"/>
          <w:w w:val="100"/>
          <w:spacing w:val="0"/>
          <w:color w:val="000000"/>
          <w:position w:val="0"/>
        </w:rPr>
        <w:t>295048, Республика Крым, г. Симферополь, ул. Трубаченко, 18б</w:t>
      </w:r>
    </w:p>
    <w:p>
      <w:pPr>
        <w:pStyle w:val="Style7"/>
        <w:numPr>
          <w:ilvl w:val="0"/>
          <w:numId w:val="3"/>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20" w:right="124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line="322" w:lineRule="exact"/>
        <w:ind w:left="20" w:right="200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both"/>
        <w:spacing w:before="0" w:after="300" w:line="322" w:lineRule="exact"/>
        <w:ind w:left="20" w:right="0" w:firstLine="0"/>
      </w:pPr>
      <w:r>
        <w:rPr>
          <w:lang w:val="ru-RU" w:eastAsia="ru-RU" w:bidi="ru-RU"/>
          <w:w w:val="100"/>
          <w:spacing w:val="0"/>
          <w:color w:val="000000"/>
          <w:position w:val="0"/>
        </w:rPr>
        <w:t>ул. Кечкеметская, д. 198 (1 этаж)</w:t>
      </w:r>
    </w:p>
    <w:p>
      <w:pPr>
        <w:pStyle w:val="Style7"/>
        <w:numPr>
          <w:ilvl w:val="0"/>
          <w:numId w:val="3"/>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20" w:right="1460" w:firstLine="0"/>
      </w:pPr>
      <w:r>
        <w:rPr>
          <w:lang w:val="ru-RU" w:eastAsia="ru-RU" w:bidi="ru-RU"/>
          <w:w w:val="100"/>
          <w:spacing w:val="0"/>
          <w:color w:val="000000"/>
          <w:position w:val="0"/>
        </w:rPr>
        <w:t>Общество с ограниченной ответственностью «ТАНДЕМ»</w:t>
      </w:r>
    </w:p>
    <w:p>
      <w:pPr>
        <w:pStyle w:val="Style7"/>
        <w:widowControl w:val="0"/>
        <w:keepNext w:val="0"/>
        <w:keepLines w:val="0"/>
        <w:shd w:val="clear" w:color="auto" w:fill="auto"/>
        <w:bidi w:val="0"/>
        <w:jc w:val="left"/>
        <w:spacing w:before="0" w:after="304" w:line="322" w:lineRule="exact"/>
        <w:ind w:left="20" w:right="340" w:firstLine="0"/>
      </w:pPr>
      <w:r>
        <w:rPr>
          <w:lang w:val="ru-RU" w:eastAsia="ru-RU" w:bidi="ru-RU"/>
          <w:w w:val="100"/>
          <w:spacing w:val="0"/>
          <w:color w:val="000000"/>
          <w:position w:val="0"/>
        </w:rPr>
        <w:t>641530, Курганская обл., с. Мокроусово, ул. Механизаторов, д. 36</w:t>
      </w:r>
    </w:p>
    <w:p>
      <w:pPr>
        <w:pStyle w:val="Style7"/>
        <w:numPr>
          <w:ilvl w:val="0"/>
          <w:numId w:val="3"/>
        </w:numPr>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АО «Электронные торговые системы»</w:t>
      </w:r>
    </w:p>
    <w:p>
      <w:pPr>
        <w:pStyle w:val="Style7"/>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123317, г. Москва,</w:t>
      </w:r>
    </w:p>
    <w:p>
      <w:pPr>
        <w:pStyle w:val="Style7"/>
        <w:widowControl w:val="0"/>
        <w:keepNext w:val="0"/>
        <w:keepLines w:val="0"/>
        <w:shd w:val="clear" w:color="auto" w:fill="auto"/>
        <w:bidi w:val="0"/>
        <w:jc w:val="both"/>
        <w:spacing w:before="0" w:after="0" w:line="317" w:lineRule="exact"/>
        <w:ind w:left="20" w:right="0" w:firstLine="0"/>
        <w:sectPr>
          <w:type w:val="continuous"/>
          <w:pgSz w:w="11906" w:h="16838"/>
          <w:pgMar w:top="960" w:left="770" w:right="1101" w:bottom="902" w:header="0" w:footer="3" w:gutter="0"/>
          <w:rtlGutter w:val="0"/>
          <w:cols w:num="2" w:space="102"/>
          <w:noEndnote/>
          <w:docGrid w:linePitch="360"/>
        </w:sectPr>
      </w:pPr>
      <w:r>
        <w:rPr>
          <w:lang w:val="ru-RU" w:eastAsia="ru-RU" w:bidi="ru-RU"/>
          <w:w w:val="100"/>
          <w:spacing w:val="0"/>
          <w:color w:val="000000"/>
          <w:position w:val="0"/>
        </w:rPr>
        <w:t>ул. Тестовская, д. 10, этаж 25</w:t>
      </w: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245"/>
        <w:ind w:left="260" w:right="0" w:firstLine="0"/>
      </w:pPr>
      <w:r>
        <w:rPr>
          <w:lang w:val="ru-RU" w:eastAsia="ru-RU" w:bidi="ru-RU"/>
          <w:w w:val="100"/>
          <w:spacing w:val="0"/>
          <w:color w:val="000000"/>
          <w:position w:val="0"/>
        </w:rPr>
        <w:t>Решение по делу №06/4262-17 о нарушении законодательства Российской Федерации о контрактной системе в сфере закупок</w:t>
      </w:r>
    </w:p>
    <w:p>
      <w:pPr>
        <w:pStyle w:val="Style7"/>
        <w:numPr>
          <w:ilvl w:val="0"/>
          <w:numId w:val="5"/>
        </w:numPr>
        <w:tabs>
          <w:tab w:leader="none" w:pos="8114" w:val="center"/>
          <w:tab w:leader="none" w:pos="9938" w:val="right"/>
          <w:tab w:leader="none" w:pos="8071" w:val="left"/>
        </w:tabs>
        <w:widowControl w:val="0"/>
        <w:keepNext w:val="0"/>
        <w:keepLines w:val="0"/>
        <w:shd w:val="clear" w:color="auto" w:fill="auto"/>
        <w:bidi w:val="0"/>
        <w:jc w:val="both"/>
        <w:spacing w:before="0" w:after="73" w:line="260" w:lineRule="exact"/>
        <w:ind w:left="30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0" w:right="260" w:firstLine="840"/>
        <w:sectPr>
          <w:type w:val="continuous"/>
          <w:pgSz w:w="11906" w:h="16838"/>
          <w:pgMar w:top="960" w:left="793" w:right="654" w:bottom="902" w:header="0" w:footer="3" w:gutter="0"/>
          <w:rtlGutter w:val="0"/>
          <w:cols w:space="720"/>
          <w:noEndnote/>
          <w:docGrid w:linePitch="360"/>
        </w:sectPr>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Уполномоченного органа Е. В. Купаревой (по доверенности),</w:t>
      </w:r>
    </w:p>
    <w:p>
      <w:pPr>
        <w:pStyle w:val="Style7"/>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Заказчика Р. А. Ковалевскому (по доверенности), представители Заявителя на заседание Комиссии не явились - рассмотрев жалобу Заявителя от 07.11.2017 № 1-07/11 (вх. №4854/09 от 08.11.2017) на действия Единой комиссии Уполномоченного органа при проведении аукциона в электронной форме «Строительно-монтажные работы по объекту: «Реконструкция объектов Государственного бюджетного учреждения Республики Крым «Специализированная детско-юношеская спортивная школа олимпийского резерва по пулевой стрельбе»» (извещение №0175200000417000430)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по необоснованному отклонению заявки Заявителя (порядковый номер «11») и не допуску Заявителя к дальнейшему участию в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№06/12745,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ходе Заседания Комиссии представители Уполномоченного органа, Заказчика не согласились с доводами Заявителя и сообщили, что при проведении</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Аукциона Заказчик, Единая комиссия Уполномоченного органа действовали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26.09.2017, изменения - 17.10.2017;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- 121 793 530,00 рублей;</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02.11.2017 08:00, дата окончания срока рассмотрения первых частей заявок участников: 03.11.2017, дата проведения Аукциона: 07.11.2017;</w:t>
      </w:r>
    </w:p>
    <w:p>
      <w:pPr>
        <w:pStyle w:val="Style7"/>
        <w:numPr>
          <w:ilvl w:val="0"/>
          <w:numId w:val="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7 заявок, из них по результатам рассмотрения первых частей заявок участников 6 заявок признаны несоответствующими требованиям документации об Аукционе, в том числе заявка под порядковым номером «11» - Заявитель;</w:t>
      </w:r>
    </w:p>
    <w:p>
      <w:pPr>
        <w:pStyle w:val="Style7"/>
        <w:numPr>
          <w:ilvl w:val="0"/>
          <w:numId w:val="7"/>
        </w:numPr>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Единая комиссия Уполномоченного органа необоснованно отклонила первую часть его заявки (под порядковым номером «11») и не допустила Заявителя к дальнейшему участию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 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 (часть 3 статьи 67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указанную в одном из следующих подпунктов информацию:</w:t>
      </w:r>
    </w:p>
    <w:p>
      <w:pPr>
        <w:pStyle w:val="Style7"/>
        <w:tabs>
          <w:tab w:leader="none" w:pos="129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а)</w:t>
        <w:tab/>
        <w:t>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tabs>
          <w:tab w:leader="none" w:pos="1321"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б)</w:t>
        <w:tab/>
        <w:t>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13"/>
        <w:framePr w:w="10085"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Согласно Протоколу рассмотрения первых частей заявок на участие в электронном аукционе от 03.11.2017 № 0175200000417000430-1-1 (далее - Протокол • </w:t>
      </w:r>
      <w:r>
        <w:rPr>
          <w:rStyle w:val="CharStyle15"/>
        </w:rPr>
        <w:t>рассмотрения) заявка под порядковым номером «11» отклонена по причине: «...</w:t>
      </w:r>
    </w:p>
    <w:tbl>
      <w:tblPr>
        <w:tblOverlap w:val="never"/>
        <w:tblLayout w:type="fixed"/>
        <w:jc w:val="center"/>
      </w:tblPr>
      <w:tblGrid>
        <w:gridCol w:w="5256"/>
        <w:gridCol w:w="4829"/>
      </w:tblGrid>
      <w:tr>
        <w:trPr>
          <w:trHeight w:val="322" w:hRule="exact"/>
        </w:trPr>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16"/>
              </w:rPr>
              <w:t>Порядковый номер заявки</w:t>
            </w:r>
          </w:p>
        </w:tc>
        <w:tc>
          <w:tcPr>
            <w:shd w:val="clear" w:color="auto" w:fill="FFFFFF"/>
            <w:tcBorders>
              <w:left w:val="single" w:sz="4"/>
              <w:righ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6"/>
              </w:rPr>
              <w:t>Заявка № 11</w:t>
            </w:r>
          </w:p>
        </w:tc>
      </w:tr>
      <w:tr>
        <w:trPr>
          <w:trHeight w:val="331" w:hRule="exact"/>
        </w:trPr>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16"/>
              </w:rPr>
              <w:t>Статус допуска участника</w:t>
            </w:r>
          </w:p>
        </w:tc>
        <w:tc>
          <w:tcPr>
            <w:shd w:val="clear" w:color="auto" w:fill="FFFFFF"/>
            <w:tcBorders>
              <w:left w:val="single" w:sz="4"/>
              <w:righ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17"/>
              </w:rPr>
              <w:t>Отказ в допуске</w:t>
            </w:r>
          </w:p>
        </w:tc>
      </w:tr>
      <w:tr>
        <w:trPr>
          <w:trHeight w:val="288" w:hRule="exact"/>
        </w:trPr>
        <w:tc>
          <w:tcPr>
            <w:shd w:val="clear" w:color="auto" w:fill="FFFFFF"/>
            <w:gridSpan w:val="2"/>
            <w:tcBorders>
              <w:left w:val="single" w:sz="4"/>
              <w:righ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16"/>
              </w:rPr>
              <w:t>Обоснование принятого решения</w:t>
            </w:r>
          </w:p>
        </w:tc>
      </w:tr>
      <w:tr>
        <w:trPr>
          <w:trHeight w:val="619" w:hRule="exact"/>
        </w:trPr>
        <w:tc>
          <w:tcPr>
            <w:shd w:val="clear" w:color="auto" w:fill="FFFFFF"/>
            <w:gridSpan w:val="2"/>
            <w:tcBorders>
              <w:left w:val="single" w:sz="4"/>
              <w:right w:val="single" w:sz="4"/>
              <w:top w:val="single" w:sz="4"/>
              <w:bottom w:val="single" w:sz="4"/>
            </w:tcBorders>
            <w:vAlign w:val="bottom"/>
          </w:tcPr>
          <w:p>
            <w:pPr>
              <w:pStyle w:val="Style7"/>
              <w:framePr w:w="10085" w:wrap="notBeside" w:vAnchor="text" w:hAnchor="text" w:xAlign="center" w:y="1"/>
              <w:widowControl w:val="0"/>
              <w:keepNext w:val="0"/>
              <w:keepLines w:val="0"/>
              <w:shd w:val="clear" w:color="auto" w:fill="auto"/>
              <w:bidi w:val="0"/>
              <w:jc w:val="right"/>
              <w:spacing w:before="0" w:after="0" w:line="312" w:lineRule="exact"/>
              <w:ind w:left="0" w:right="40" w:firstLine="0"/>
            </w:pPr>
            <w:r>
              <w:rPr>
                <w:rStyle w:val="CharStyle17"/>
              </w:rPr>
              <w:t xml:space="preserve">В соответствии с п.2 ч.4 ст.67 Закона 44-ФЗ, а именно: несоответствие в первой части заявки участника информации, предусмотренной п.п. б) п.3 </w:t>
            </w:r>
            <w:r>
              <w:rPr>
                <w:rStyle w:val="CharStyle18"/>
              </w:rPr>
              <w:t xml:space="preserve">ч.3 ст. 66 </w:t>
            </w:r>
            <w:r>
              <w:rPr>
                <w:rStyle w:val="CharStyle17"/>
              </w:rPr>
              <w:t>Закона №44-ФЗ, п.1.1 ч.1</w:t>
            </w:r>
          </w:p>
        </w:tc>
      </w:tr>
    </w:tbl>
    <w:p>
      <w:pPr>
        <w:widowControl w:val="0"/>
        <w:rPr>
          <w:sz w:val="2"/>
          <w:szCs w:val="2"/>
        </w:rPr>
      </w:pPr>
    </w:p>
    <w:p>
      <w:pPr>
        <w:pStyle w:val="Style19"/>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 xml:space="preserve">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электронном аукционе, а именно:</w:t>
      </w:r>
    </w:p>
    <w:p>
      <w:pPr>
        <w:pStyle w:val="Style19"/>
        <w:numPr>
          <w:ilvl w:val="0"/>
          <w:numId w:val="11"/>
        </w:numPr>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 xml:space="preserve"> Согласно приложению №1 к разделу IV документации об аукционе в электронной форме по номенклатурной позиции «Унитаз компакт с бачком» установлены следующие значения:</w:t>
      </w:r>
    </w:p>
    <w:p>
      <w:pPr>
        <w:pStyle w:val="Style19"/>
        <w:numPr>
          <w:ilvl w:val="0"/>
          <w:numId w:val="7"/>
        </w:numPr>
        <w:widowControl w:val="0"/>
        <w:keepNext w:val="0"/>
        <w:keepLines w:val="0"/>
        <w:shd w:val="clear" w:color="auto" w:fill="auto"/>
        <w:bidi w:val="0"/>
        <w:spacing w:before="0" w:after="0"/>
        <w:ind w:left="60" w:right="0" w:firstLine="560"/>
      </w:pPr>
      <w:r>
        <w:rPr>
          <w:lang w:val="ru-RU" w:eastAsia="ru-RU" w:bidi="ru-RU"/>
          <w:w w:val="100"/>
          <w:spacing w:val="0"/>
          <w:color w:val="000000"/>
          <w:position w:val="0"/>
        </w:rPr>
        <w:t xml:space="preserve"> «Требуется соответствие ГОСТ 30493-96»;</w:t>
      </w:r>
    </w:p>
    <w:p>
      <w:pPr>
        <w:pStyle w:val="Style19"/>
        <w:numPr>
          <w:ilvl w:val="0"/>
          <w:numId w:val="7"/>
        </w:numPr>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 xml:space="preserve"> «Унитаз должен быть с цельноотлитой полочкой с прямым или косым выпуском или без цельноотлитой полочки с косым выпуском»;</w:t>
      </w:r>
    </w:p>
    <w:p>
      <w:pPr>
        <w:pStyle w:val="Style19"/>
        <w:numPr>
          <w:ilvl w:val="0"/>
          <w:numId w:val="7"/>
        </w:numPr>
        <w:widowControl w:val="0"/>
        <w:keepNext w:val="0"/>
        <w:keepLines w:val="0"/>
        <w:shd w:val="clear" w:color="auto" w:fill="auto"/>
        <w:bidi w:val="0"/>
        <w:spacing w:before="0" w:after="0"/>
        <w:ind w:left="60" w:right="0" w:firstLine="560"/>
      </w:pPr>
      <w:r>
        <w:rPr>
          <w:lang w:val="ru-RU" w:eastAsia="ru-RU" w:bidi="ru-RU"/>
          <w:w w:val="100"/>
          <w:spacing w:val="0"/>
          <w:color w:val="000000"/>
          <w:position w:val="0"/>
        </w:rPr>
        <w:t xml:space="preserve"> «Размеры унитаза в мм: </w:t>
      </w:r>
      <w:r>
        <w:rPr>
          <w:lang w:val="en-US" w:eastAsia="en-US" w:bidi="en-US"/>
          <w:w w:val="100"/>
          <w:spacing w:val="0"/>
          <w:color w:val="000000"/>
          <w:position w:val="0"/>
        </w:rPr>
        <w:t xml:space="preserve">h </w:t>
      </w:r>
      <w:r>
        <w:rPr>
          <w:lang w:val="ru-RU" w:eastAsia="ru-RU" w:bidi="ru-RU"/>
          <w:w w:val="100"/>
          <w:spacing w:val="0"/>
          <w:color w:val="000000"/>
          <w:position w:val="0"/>
        </w:rPr>
        <w:t>320/350».</w:t>
      </w:r>
    </w:p>
    <w:p>
      <w:pPr>
        <w:pStyle w:val="Style19"/>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В свою очередь, по данной номенклатурной позиции участником электронного аукциона подтверждено соответствие ГОСТ 30493-96, а также указана следующая информация:</w:t>
      </w:r>
    </w:p>
    <w:p>
      <w:pPr>
        <w:pStyle w:val="Style19"/>
        <w:numPr>
          <w:ilvl w:val="0"/>
          <w:numId w:val="7"/>
        </w:numPr>
        <w:widowControl w:val="0"/>
        <w:keepNext w:val="0"/>
        <w:keepLines w:val="0"/>
        <w:shd w:val="clear" w:color="auto" w:fill="auto"/>
        <w:bidi w:val="0"/>
        <w:spacing w:before="0" w:after="0"/>
        <w:ind w:left="60" w:right="0" w:firstLine="560"/>
      </w:pPr>
      <w:r>
        <w:rPr>
          <w:lang w:val="ru-RU" w:eastAsia="ru-RU" w:bidi="ru-RU"/>
          <w:w w:val="100"/>
          <w:spacing w:val="0"/>
          <w:color w:val="000000"/>
          <w:position w:val="0"/>
        </w:rPr>
        <w:t xml:space="preserve"> «Унитаз </w:t>
      </w:r>
      <w:r>
        <w:rPr>
          <w:rStyle w:val="CharStyle22"/>
        </w:rPr>
        <w:t>с цельноотлитой полочкой</w:t>
      </w:r>
      <w:r>
        <w:rPr>
          <w:lang w:val="ru-RU" w:eastAsia="ru-RU" w:bidi="ru-RU"/>
          <w:w w:val="100"/>
          <w:spacing w:val="0"/>
          <w:color w:val="000000"/>
          <w:position w:val="0"/>
        </w:rPr>
        <w:t xml:space="preserve"> с косым выпуском»;</w:t>
      </w:r>
    </w:p>
    <w:p>
      <w:pPr>
        <w:pStyle w:val="Style19"/>
        <w:numPr>
          <w:ilvl w:val="0"/>
          <w:numId w:val="7"/>
        </w:numPr>
        <w:widowControl w:val="0"/>
        <w:keepNext w:val="0"/>
        <w:keepLines w:val="0"/>
        <w:shd w:val="clear" w:color="auto" w:fill="auto"/>
        <w:bidi w:val="0"/>
        <w:spacing w:before="0" w:after="0"/>
        <w:ind w:left="60" w:right="0" w:firstLine="560"/>
      </w:pPr>
      <w:r>
        <w:rPr>
          <w:lang w:val="ru-RU" w:eastAsia="ru-RU" w:bidi="ru-RU"/>
          <w:w w:val="100"/>
          <w:spacing w:val="0"/>
          <w:color w:val="000000"/>
          <w:position w:val="0"/>
        </w:rPr>
        <w:t xml:space="preserve"> «Размеры унитаза в мм: </w:t>
      </w:r>
      <w:r>
        <w:rPr>
          <w:lang w:val="en-US" w:eastAsia="en-US" w:bidi="en-US"/>
          <w:w w:val="100"/>
          <w:spacing w:val="0"/>
          <w:color w:val="000000"/>
          <w:position w:val="0"/>
        </w:rPr>
        <w:t xml:space="preserve">h </w:t>
      </w:r>
      <w:r>
        <w:rPr>
          <w:lang w:val="ru-RU" w:eastAsia="ru-RU" w:bidi="ru-RU"/>
          <w:w w:val="100"/>
          <w:spacing w:val="0"/>
          <w:color w:val="000000"/>
          <w:position w:val="0"/>
        </w:rPr>
        <w:t>320» (цитата из заявки).</w:t>
      </w:r>
    </w:p>
    <w:p>
      <w:pPr>
        <w:pStyle w:val="Style19"/>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 xml:space="preserve">В соответствии с таблицей 3 ГОСТ 30493-96 «Изделия санитарные керамические. Типы и основные размеры (с Поправкой)» размер </w:t>
      </w:r>
      <w:r>
        <w:rPr>
          <w:lang w:val="en-US" w:eastAsia="en-US" w:bidi="en-US"/>
          <w:w w:val="100"/>
          <w:spacing w:val="0"/>
          <w:color w:val="000000"/>
          <w:position w:val="0"/>
        </w:rPr>
        <w:t xml:space="preserve">h </w:t>
      </w:r>
      <w:r>
        <w:rPr>
          <w:lang w:val="ru-RU" w:eastAsia="ru-RU" w:bidi="ru-RU"/>
          <w:w w:val="100"/>
          <w:spacing w:val="0"/>
          <w:color w:val="000000"/>
          <w:position w:val="0"/>
        </w:rPr>
        <w:t xml:space="preserve">установлен исключительно для унитаза </w:t>
      </w:r>
      <w:r>
        <w:rPr>
          <w:rStyle w:val="CharStyle22"/>
        </w:rPr>
        <w:t>без</w:t>
      </w:r>
      <w:r>
        <w:rPr>
          <w:lang w:val="ru-RU" w:eastAsia="ru-RU" w:bidi="ru-RU"/>
          <w:w w:val="100"/>
          <w:spacing w:val="0"/>
          <w:color w:val="000000"/>
          <w:position w:val="0"/>
        </w:rPr>
        <w:t xml:space="preserve"> </w:t>
      </w:r>
      <w:r>
        <w:rPr>
          <w:rStyle w:val="CharStyle22"/>
        </w:rPr>
        <w:t>цельнолитой полочки</w:t>
      </w:r>
      <w:r>
        <w:rPr>
          <w:lang w:val="ru-RU" w:eastAsia="ru-RU" w:bidi="ru-RU"/>
          <w:w w:val="100"/>
          <w:spacing w:val="0"/>
          <w:color w:val="000000"/>
          <w:position w:val="0"/>
        </w:rPr>
        <w:t>.</w:t>
      </w:r>
    </w:p>
    <w:p>
      <w:pPr>
        <w:pStyle w:val="Style19"/>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19"/>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Аналогичного мнения придерживается Крымское УФАС России, что подтверждается решением от 25.09.2017 по делу №06/3559-17 о нарушении законодательства Российской Федерации о контрактной системе в сфере закупок.</w:t>
      </w:r>
    </w:p>
    <w:p>
      <w:pPr>
        <w:pStyle w:val="Style19"/>
        <w:numPr>
          <w:ilvl w:val="0"/>
          <w:numId w:val="11"/>
        </w:numPr>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 xml:space="preserve"> Согласно приложению №1 к разделу IV документации об аукционе в электронной форме по номенклатурной позиции «Светильник» установлены следующие значения:</w:t>
      </w:r>
    </w:p>
    <w:p>
      <w:pPr>
        <w:pStyle w:val="Style19"/>
        <w:numPr>
          <w:ilvl w:val="0"/>
          <w:numId w:val="7"/>
        </w:numPr>
        <w:widowControl w:val="0"/>
        <w:keepNext w:val="0"/>
        <w:keepLines w:val="0"/>
        <w:shd w:val="clear" w:color="auto" w:fill="auto"/>
        <w:bidi w:val="0"/>
        <w:spacing w:before="0" w:after="0"/>
        <w:ind w:left="60" w:right="0" w:firstLine="560"/>
      </w:pPr>
      <w:r>
        <w:rPr>
          <w:lang w:val="ru-RU" w:eastAsia="ru-RU" w:bidi="ru-RU"/>
          <w:w w:val="100"/>
          <w:spacing w:val="0"/>
          <w:color w:val="000000"/>
          <w:position w:val="0"/>
        </w:rPr>
        <w:t xml:space="preserve"> «Степень защиты </w:t>
      </w:r>
      <w:r>
        <w:rPr>
          <w:lang w:val="en-US" w:eastAsia="en-US" w:bidi="en-US"/>
          <w:w w:val="100"/>
          <w:spacing w:val="0"/>
          <w:color w:val="000000"/>
          <w:position w:val="0"/>
        </w:rPr>
        <w:t xml:space="preserve">IP </w:t>
      </w:r>
      <w:r>
        <w:rPr>
          <w:lang w:val="ru-RU" w:eastAsia="ru-RU" w:bidi="ru-RU"/>
          <w:w w:val="100"/>
          <w:spacing w:val="0"/>
          <w:color w:val="000000"/>
          <w:position w:val="0"/>
        </w:rPr>
        <w:t xml:space="preserve">не менее </w:t>
      </w:r>
      <w:r>
        <w:rPr>
          <w:lang w:val="en-US" w:eastAsia="en-US" w:bidi="en-US"/>
          <w:w w:val="100"/>
          <w:spacing w:val="0"/>
          <w:color w:val="000000"/>
          <w:position w:val="0"/>
        </w:rPr>
        <w:t xml:space="preserve">IP44 </w:t>
      </w:r>
      <w:r>
        <w:rPr>
          <w:lang w:val="ru-RU" w:eastAsia="ru-RU" w:bidi="ru-RU"/>
          <w:w w:val="100"/>
          <w:spacing w:val="0"/>
          <w:color w:val="000000"/>
          <w:position w:val="0"/>
        </w:rPr>
        <w:t>по ГОСТ 14254-2015»;</w:t>
      </w:r>
    </w:p>
    <w:p>
      <w:pPr>
        <w:pStyle w:val="Style19"/>
        <w:numPr>
          <w:ilvl w:val="0"/>
          <w:numId w:val="7"/>
        </w:numPr>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 xml:space="preserve"> «Светильники с защитой от водяных струй должны иметь каучуковое или резиновое уплотнение между стеклом и корпусом»;</w:t>
      </w:r>
    </w:p>
    <w:p>
      <w:pPr>
        <w:pStyle w:val="Style19"/>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В свою очередь, по данной номенклатурной позиции участником электронного аукциона указана следующая информация:</w:t>
      </w:r>
    </w:p>
    <w:p>
      <w:pPr>
        <w:pStyle w:val="Style19"/>
        <w:numPr>
          <w:ilvl w:val="0"/>
          <w:numId w:val="7"/>
        </w:numPr>
        <w:widowControl w:val="0"/>
        <w:keepNext w:val="0"/>
        <w:keepLines w:val="0"/>
        <w:shd w:val="clear" w:color="auto" w:fill="auto"/>
        <w:bidi w:val="0"/>
        <w:spacing w:before="0" w:after="0"/>
        <w:ind w:left="60" w:right="0" w:firstLine="560"/>
      </w:pPr>
      <w:r>
        <w:rPr>
          <w:lang w:val="ru-RU" w:eastAsia="ru-RU" w:bidi="ru-RU"/>
          <w:w w:val="100"/>
          <w:spacing w:val="0"/>
          <w:color w:val="000000"/>
          <w:position w:val="0"/>
        </w:rPr>
        <w:t xml:space="preserve"> «Степень защиты </w:t>
      </w:r>
      <w:r>
        <w:rPr>
          <w:rStyle w:val="CharStyle21"/>
          <w:lang w:val="en-US" w:eastAsia="en-US" w:bidi="en-US"/>
        </w:rPr>
        <w:t xml:space="preserve">IP44 </w:t>
      </w:r>
      <w:r>
        <w:rPr>
          <w:lang w:val="ru-RU" w:eastAsia="ru-RU" w:bidi="ru-RU"/>
          <w:w w:val="100"/>
          <w:spacing w:val="0"/>
          <w:color w:val="000000"/>
          <w:position w:val="0"/>
        </w:rPr>
        <w:t>по ГОСТ 14254-2015»;</w:t>
      </w:r>
    </w:p>
    <w:p>
      <w:pPr>
        <w:pStyle w:val="Style19"/>
        <w:numPr>
          <w:ilvl w:val="0"/>
          <w:numId w:val="7"/>
        </w:numPr>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 xml:space="preserve"> «Светильники </w:t>
      </w:r>
      <w:r>
        <w:rPr>
          <w:rStyle w:val="CharStyle21"/>
        </w:rPr>
        <w:t xml:space="preserve">с защитой от водяных струй </w:t>
      </w:r>
      <w:r>
        <w:rPr>
          <w:lang w:val="ru-RU" w:eastAsia="ru-RU" w:bidi="ru-RU"/>
          <w:w w:val="100"/>
          <w:spacing w:val="0"/>
          <w:color w:val="000000"/>
          <w:position w:val="0"/>
        </w:rPr>
        <w:t>имеют резиновое уплотнение между стеклом и корпусом» (цитата из заявки).</w:t>
      </w:r>
    </w:p>
    <w:p>
      <w:pPr>
        <w:pStyle w:val="Style19"/>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 xml:space="preserve">В соответствии с таблицей 3 ГОСТ 14254-2015 </w:t>
      </w:r>
      <w:r>
        <w:rPr>
          <w:lang w:val="en-US" w:eastAsia="en-US" w:bidi="en-US"/>
          <w:w w:val="100"/>
          <w:spacing w:val="0"/>
          <w:color w:val="000000"/>
          <w:position w:val="0"/>
        </w:rPr>
        <w:t xml:space="preserve">(IEC </w:t>
      </w:r>
      <w:r>
        <w:rPr>
          <w:lang w:val="ru-RU" w:eastAsia="ru-RU" w:bidi="ru-RU"/>
          <w:w w:val="100"/>
          <w:spacing w:val="0"/>
          <w:color w:val="000000"/>
          <w:position w:val="0"/>
        </w:rPr>
        <w:t xml:space="preserve">60529:2013) Степени защиты, обеспечиваемые оболочками (Код </w:t>
      </w:r>
      <w:r>
        <w:rPr>
          <w:lang w:val="en-US" w:eastAsia="en-US" w:bidi="en-US"/>
          <w:w w:val="100"/>
          <w:spacing w:val="0"/>
          <w:color w:val="000000"/>
          <w:position w:val="0"/>
        </w:rPr>
        <w:t xml:space="preserve">IP)» </w:t>
      </w:r>
      <w:r>
        <w:rPr>
          <w:lang w:val="ru-RU" w:eastAsia="ru-RU" w:bidi="ru-RU"/>
          <w:w w:val="100"/>
          <w:spacing w:val="0"/>
          <w:color w:val="000000"/>
          <w:position w:val="0"/>
        </w:rPr>
        <w:t>вторая характеристическая цифра 4 означает защиту от сплошного обрызгивания. Исходя из указанной степени защиты, участником электронного аукциона предложен светильник без защиты от водяных струй.</w:t>
      </w:r>
    </w:p>
    <w:p>
      <w:pPr>
        <w:pStyle w:val="Style19"/>
        <w:tabs>
          <w:tab w:leader="underscore" w:pos="10063" w:val="left"/>
        </w:tabs>
        <w:widowControl w:val="0"/>
        <w:keepNext w:val="0"/>
        <w:keepLines w:val="0"/>
        <w:shd w:val="clear" w:color="auto" w:fill="auto"/>
        <w:bidi w:val="0"/>
        <w:spacing w:before="0" w:after="0"/>
        <w:ind w:left="60" w:right="340" w:firstLine="560"/>
      </w:pPr>
      <w:r>
        <w:rPr>
          <w:lang w:val="ru-RU" w:eastAsia="ru-RU" w:bidi="ru-RU"/>
          <w:w w:val="100"/>
          <w:spacing w:val="0"/>
          <w:color w:val="000000"/>
          <w:position w:val="0"/>
        </w:rPr>
        <w:t xml:space="preserve">Таким образом, участником предложен товар, используемый при выполнении работ не </w:t>
      </w:r>
      <w:r>
        <w:rPr>
          <w:rStyle w:val="CharStyle22"/>
        </w:rPr>
        <w:t>соответствующий требованиям документации об электронном аукционе.</w:t>
      </w:r>
      <w:r>
        <w:rPr>
          <w:lang w:val="ru-RU" w:eastAsia="ru-RU" w:bidi="ru-RU"/>
          <w:w w:val="100"/>
          <w:spacing w:val="0"/>
          <w:color w:val="000000"/>
          <w:position w:val="0"/>
        </w:rPr>
        <w:tab/>
      </w:r>
    </w:p>
    <w:p>
      <w:pPr>
        <w:pStyle w:val="Style7"/>
        <w:widowControl w:val="0"/>
        <w:keepNext w:val="0"/>
        <w:keepLines w:val="0"/>
        <w:shd w:val="clear" w:color="auto" w:fill="auto"/>
        <w:bidi w:val="0"/>
        <w:jc w:val="left"/>
        <w:spacing w:before="0" w:after="0" w:line="317" w:lineRule="exact"/>
        <w:ind w:left="960" w:right="0" w:firstLine="0"/>
      </w:pPr>
      <w:r>
        <w:rPr>
          <w:lang w:val="ru-RU" w:eastAsia="ru-RU" w:bidi="ru-RU"/>
          <w:w w:val="100"/>
          <w:spacing w:val="0"/>
          <w:color w:val="000000"/>
          <w:position w:val="0"/>
        </w:rPr>
        <w:t>...</w:t>
      </w:r>
      <w:r>
        <w:rPr>
          <w:rStyle w:val="CharStyle23"/>
        </w:rPr>
        <w:t xml:space="preserve">» </w:t>
      </w:r>
      <w:r>
        <w:rPr>
          <w:lang w:val="ru-RU" w:eastAsia="ru-RU" w:bidi="ru-RU"/>
          <w:w w:val="100"/>
          <w:spacing w:val="0"/>
          <w:color w:val="000000"/>
          <w:position w:val="0"/>
        </w:rPr>
        <w:t>(цитата Протокола рассмотрения).</w:t>
      </w:r>
    </w:p>
    <w:p>
      <w:pPr>
        <w:pStyle w:val="Style7"/>
        <w:widowControl w:val="0"/>
        <w:keepNext w:val="0"/>
        <w:keepLines w:val="0"/>
        <w:shd w:val="clear" w:color="auto" w:fill="auto"/>
        <w:bidi w:val="0"/>
        <w:jc w:val="left"/>
        <w:spacing w:before="0" w:after="0" w:line="317" w:lineRule="exact"/>
        <w:ind w:left="60" w:right="200" w:firstLine="820"/>
      </w:pPr>
      <w:r>
        <w:rPr>
          <w:lang w:val="ru-RU" w:eastAsia="ru-RU" w:bidi="ru-RU"/>
          <w:w w:val="100"/>
          <w:spacing w:val="0"/>
          <w:color w:val="000000"/>
          <w:position w:val="0"/>
        </w:rPr>
        <w:t xml:space="preserve">Документация об Аукционе содержит следующие требования к товарам, используемым при выполнении работ: </w:t>
      </w:r>
      <w:r>
        <w:rPr>
          <w:rStyle w:val="CharStyle24"/>
        </w:rPr>
        <w:t>«...</w:t>
      </w:r>
    </w:p>
    <w:p>
      <w:pPr>
        <w:pStyle w:val="Style25"/>
        <w:widowControl w:val="0"/>
        <w:keepNext w:val="0"/>
        <w:keepLines w:val="0"/>
        <w:shd w:val="clear" w:color="auto" w:fill="auto"/>
        <w:bidi w:val="0"/>
        <w:jc w:val="left"/>
        <w:spacing w:before="0" w:after="0"/>
        <w:ind w:left="60" w:right="200" w:firstLine="820"/>
      </w:pPr>
      <w:r>
        <w:rPr>
          <w:lang w:val="ru-RU" w:eastAsia="ru-RU" w:bidi="ru-RU"/>
          <w:w w:val="100"/>
          <w:spacing w:val="0"/>
          <w:color w:val="000000"/>
          <w:position w:val="0"/>
        </w:rPr>
        <w:t>Унитаз компакт с бачком. Требуется соответствие ГОСТ 30493-96. Унитаз должен быть с цельноотлитой полочкой с прямым или косым выпуском или без цельноотлитой полочки с косым выпуском. Унитаз должен быть тарельчатый.</w:t>
      </w:r>
    </w:p>
    <w:p>
      <w:pPr>
        <w:pStyle w:val="Style25"/>
        <w:widowControl w:val="0"/>
        <w:keepNext w:val="0"/>
        <w:keepLines w:val="0"/>
        <w:shd w:val="clear" w:color="auto" w:fill="auto"/>
        <w:bidi w:val="0"/>
        <w:jc w:val="left"/>
        <w:spacing w:before="0" w:after="0"/>
        <w:ind w:left="60" w:right="0" w:firstLine="820"/>
      </w:pPr>
      <w:r>
        <w:rPr>
          <w:lang w:val="ru-RU" w:eastAsia="ru-RU" w:bidi="ru-RU"/>
          <w:w w:val="100"/>
          <w:spacing w:val="0"/>
          <w:color w:val="000000"/>
          <w:position w:val="0"/>
        </w:rPr>
        <w:t>Размеры унитаза</w:t>
      </w:r>
    </w:p>
    <w:p>
      <w:pPr>
        <w:pStyle w:val="Style25"/>
        <w:tabs>
          <w:tab w:leader="underscore" w:pos="9185" w:val="right"/>
          <w:tab w:leader="none" w:pos="10260" w:val="right"/>
        </w:tabs>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ab/>
        <w:t xml:space="preserve">       </w:t>
      </w:r>
      <w:r>
        <w:rPr>
          <w:rStyle w:val="CharStyle27"/>
        </w:rPr>
        <w:t>в</w:t>
        <w:tab/>
        <w:t>миллиметра</w:t>
      </w:r>
      <w:r>
        <w:rPr>
          <w:lang w:val="ru-RU" w:eastAsia="ru-RU" w:bidi="ru-RU"/>
          <w:w w:val="100"/>
          <w:spacing w:val="0"/>
          <w:color w:val="000000"/>
          <w:position w:val="0"/>
        </w:rPr>
        <w:t>х</w:t>
      </w:r>
    </w:p>
    <w:tbl>
      <w:tblPr>
        <w:tblOverlap w:val="never"/>
        <w:tblLayout w:type="fixed"/>
        <w:jc w:val="center"/>
      </w:tblPr>
      <w:tblGrid>
        <w:gridCol w:w="1426"/>
        <w:gridCol w:w="1277"/>
        <w:gridCol w:w="1277"/>
        <w:gridCol w:w="566"/>
        <w:gridCol w:w="706"/>
        <w:gridCol w:w="2554"/>
        <w:gridCol w:w="1133"/>
        <w:gridCol w:w="1147"/>
      </w:tblGrid>
      <w:tr>
        <w:trPr>
          <w:trHeight w:val="274" w:hRule="exact"/>
        </w:trPr>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H</w:t>
            </w:r>
          </w:p>
        </w:tc>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h</w:t>
            </w:r>
          </w:p>
        </w:tc>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hi</w:t>
            </w:r>
          </w:p>
        </w:tc>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l</w:t>
            </w:r>
          </w:p>
        </w:tc>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ll</w:t>
            </w:r>
          </w:p>
        </w:tc>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L</w:t>
            </w:r>
          </w:p>
        </w:tc>
        <w:tc>
          <w:tcPr>
            <w:shd w:val="clear" w:color="auto" w:fill="FFFFFF"/>
            <w:tcBorders>
              <w:lef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b</w:t>
            </w:r>
          </w:p>
        </w:tc>
        <w:tc>
          <w:tcPr>
            <w:shd w:val="clear" w:color="auto" w:fill="FFFFFF"/>
            <w:tcBorders>
              <w:left w:val="single" w:sz="4"/>
              <w:right w:val="single" w:sz="4"/>
              <w:top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B</w:t>
            </w:r>
          </w:p>
        </w:tc>
      </w:tr>
      <w:tr>
        <w:trPr>
          <w:trHeight w:val="274" w:hRule="exact"/>
        </w:trPr>
        <w:tc>
          <w:tcPr>
            <w:shd w:val="clear" w:color="auto" w:fill="FFFFFF"/>
            <w:tcBorders>
              <w:lef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rPr>
              <w:t>370/400</w:t>
            </w:r>
          </w:p>
        </w:tc>
        <w:tc>
          <w:tcPr>
            <w:shd w:val="clear" w:color="auto" w:fill="FFFFFF"/>
            <w:tcBorders>
              <w:lef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rPr>
              <w:t>320/350</w:t>
            </w:r>
          </w:p>
        </w:tc>
        <w:tc>
          <w:tcPr>
            <w:shd w:val="clear" w:color="auto" w:fill="FFFFFF"/>
            <w:tcBorders>
              <w:lef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rPr>
              <w:t>150</w:t>
            </w:r>
          </w:p>
        </w:tc>
        <w:tc>
          <w:tcPr>
            <w:shd w:val="clear" w:color="auto" w:fill="FFFFFF"/>
            <w:tcBorders>
              <w:lef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rPr>
              <w:t>330</w:t>
            </w:r>
          </w:p>
        </w:tc>
        <w:tc>
          <w:tcPr>
            <w:shd w:val="clear" w:color="auto" w:fill="FFFFFF"/>
            <w:tcBorders>
              <w:lef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lang w:val="en-US" w:eastAsia="en-US" w:bidi="en-US"/>
              </w:rPr>
              <w:t>435</w:t>
            </w:r>
          </w:p>
        </w:tc>
        <w:tc>
          <w:tcPr>
            <w:shd w:val="clear" w:color="auto" w:fill="FFFFFF"/>
            <w:tcBorders>
              <w:lef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rPr>
              <w:t xml:space="preserve">не менее </w:t>
            </w:r>
            <w:r>
              <w:rPr>
                <w:rStyle w:val="CharStyle30"/>
                <w:lang w:val="en-US" w:eastAsia="en-US" w:bidi="en-US"/>
              </w:rPr>
              <w:t xml:space="preserve">605 </w:t>
            </w:r>
            <w:r>
              <w:rPr>
                <w:rStyle w:val="CharStyle30"/>
              </w:rPr>
              <w:t>или 460</w:t>
            </w:r>
          </w:p>
        </w:tc>
        <w:tc>
          <w:tcPr>
            <w:shd w:val="clear" w:color="auto" w:fill="FFFFFF"/>
            <w:tcBorders>
              <w:left w:val="single" w:sz="4"/>
              <w:top w:val="single" w:sz="4"/>
              <w:bottom w:val="single" w:sz="4"/>
            </w:tcBorders>
            <w:vAlign w:val="bottom"/>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rPr>
              <w:t>260</w:t>
            </w:r>
          </w:p>
        </w:tc>
        <w:tc>
          <w:tcPr>
            <w:shd w:val="clear" w:color="auto" w:fill="FFFFFF"/>
            <w:tcBorders>
              <w:left w:val="single" w:sz="4"/>
              <w:right w:val="single" w:sz="4"/>
              <w:top w:val="single" w:sz="4"/>
              <w:bottom w:val="single" w:sz="4"/>
            </w:tcBorders>
            <w:vAlign w:val="top"/>
          </w:tcPr>
          <w:p>
            <w:pPr>
              <w:pStyle w:val="Style7"/>
              <w:framePr w:w="10085"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0"/>
              </w:rPr>
              <w:t>340/360</w:t>
            </w:r>
          </w:p>
        </w:tc>
      </w:tr>
    </w:tbl>
    <w:p>
      <w:pPr>
        <w:pStyle w:val="Style28"/>
        <w:framePr w:w="10085" w:wrap="notBeside" w:vAnchor="text" w:hAnchor="text" w:xAlign="center" w:y="1"/>
        <w:widowControl w:val="0"/>
        <w:keepNext w:val="0"/>
        <w:keepLines w:val="0"/>
        <w:shd w:val="clear" w:color="auto" w:fill="auto"/>
        <w:bidi w:val="0"/>
        <w:jc w:val="left"/>
        <w:spacing w:before="0" w:after="0" w:line="170" w:lineRule="exact"/>
        <w:ind w:left="0" w:right="0" w:firstLine="0"/>
      </w:pPr>
      <w:r>
        <w:rPr>
          <w:lang w:val="ru-RU" w:eastAsia="ru-RU" w:bidi="ru-RU"/>
          <w:w w:val="100"/>
          <w:spacing w:val="0"/>
          <w:color w:val="000000"/>
          <w:position w:val="0"/>
        </w:rPr>
        <w:t>Светильник.</w:t>
      </w:r>
    </w:p>
    <w:p>
      <w:pPr>
        <w:widowControl w:val="0"/>
        <w:rPr>
          <w:sz w:val="2"/>
          <w:szCs w:val="2"/>
        </w:rPr>
      </w:pPr>
    </w:p>
    <w:p>
      <w:pPr>
        <w:pStyle w:val="Style25"/>
        <w:tabs>
          <w:tab w:leader="none" w:pos="8690" w:val="right"/>
          <w:tab w:leader="none" w:pos="8970" w:val="right"/>
        </w:tabs>
        <w:widowControl w:val="0"/>
        <w:keepNext w:val="0"/>
        <w:keepLines w:val="0"/>
        <w:shd w:val="clear" w:color="auto" w:fill="auto"/>
        <w:bidi w:val="0"/>
        <w:jc w:val="both"/>
        <w:spacing w:before="0" w:after="0" w:line="274" w:lineRule="exact"/>
        <w:ind w:left="1480" w:right="0" w:firstLine="0"/>
      </w:pPr>
      <w:r>
        <w:rPr>
          <w:lang w:val="ru-RU" w:eastAsia="ru-RU" w:bidi="ru-RU"/>
          <w:w w:val="100"/>
          <w:spacing w:val="0"/>
          <w:color w:val="000000"/>
          <w:position w:val="0"/>
        </w:rPr>
        <w:t>Диаметр, не менее</w:t>
        <w:tab/>
        <w:t>359</w:t>
        <w:tab/>
        <w:t>мм</w:t>
      </w:r>
    </w:p>
    <w:p>
      <w:pPr>
        <w:pStyle w:val="Style25"/>
        <w:tabs>
          <w:tab w:leader="none" w:pos="8970" w:val="right"/>
        </w:tabs>
        <w:widowControl w:val="0"/>
        <w:keepNext w:val="0"/>
        <w:keepLines w:val="0"/>
        <w:shd w:val="clear" w:color="auto" w:fill="auto"/>
        <w:bidi w:val="0"/>
        <w:jc w:val="both"/>
        <w:spacing w:before="0" w:after="0" w:line="274" w:lineRule="exact"/>
        <w:ind w:left="1480" w:right="0" w:firstLine="0"/>
      </w:pPr>
      <w:r>
        <w:rPr>
          <w:lang w:val="ru-RU" w:eastAsia="ru-RU" w:bidi="ru-RU"/>
          <w:w w:val="100"/>
          <w:spacing w:val="0"/>
          <w:color w:val="000000"/>
          <w:position w:val="0"/>
        </w:rPr>
        <w:t>Высота, не менее</w:t>
        <w:tab/>
        <w:t>197 мм</w:t>
      </w:r>
    </w:p>
    <w:p>
      <w:pPr>
        <w:pStyle w:val="Style2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Тип источника света - ДНаТ Цоколь - Е27. Кол-во ламп 1 шт. Мощность светильника 100Вт. Напряжение светильника 220-230 В. Класс защиты от поражения током I. Климатическое исполнение УХЛ1. Цвет корпуса - серебристый. Степень защиты </w:t>
      </w:r>
      <w:r>
        <w:rPr>
          <w:lang w:val="en-US" w:eastAsia="en-US" w:bidi="en-US"/>
          <w:w w:val="100"/>
          <w:spacing w:val="0"/>
          <w:color w:val="000000"/>
          <w:position w:val="0"/>
        </w:rPr>
        <w:t xml:space="preserve">IP </w:t>
      </w:r>
      <w:r>
        <w:rPr>
          <w:lang w:val="ru-RU" w:eastAsia="ru-RU" w:bidi="ru-RU"/>
          <w:w w:val="100"/>
          <w:spacing w:val="0"/>
          <w:color w:val="000000"/>
          <w:position w:val="0"/>
        </w:rPr>
        <w:t xml:space="preserve">не менее </w:t>
      </w:r>
      <w:r>
        <w:rPr>
          <w:lang w:val="en-US" w:eastAsia="en-US" w:bidi="en-US"/>
          <w:w w:val="100"/>
          <w:spacing w:val="0"/>
          <w:color w:val="000000"/>
          <w:position w:val="0"/>
        </w:rPr>
        <w:t xml:space="preserve">IP44 </w:t>
      </w:r>
      <w:r>
        <w:rPr>
          <w:lang w:val="ru-RU" w:eastAsia="ru-RU" w:bidi="ru-RU"/>
          <w:w w:val="100"/>
          <w:spacing w:val="0"/>
          <w:color w:val="000000"/>
          <w:position w:val="0"/>
        </w:rPr>
        <w:t xml:space="preserve">по ГОСТ 14254-2015. Класс энергоэффективности не ниже </w:t>
      </w:r>
      <w:r>
        <w:rPr>
          <w:lang w:val="en-US" w:eastAsia="en-US" w:bidi="en-US"/>
          <w:w w:val="100"/>
          <w:spacing w:val="0"/>
          <w:color w:val="000000"/>
          <w:position w:val="0"/>
        </w:rPr>
        <w:t xml:space="preserve">A+. </w:t>
      </w:r>
      <w:r>
        <w:rPr>
          <w:lang w:val="ru-RU" w:eastAsia="ru-RU" w:bidi="ru-RU"/>
          <w:w w:val="100"/>
          <w:spacing w:val="0"/>
          <w:color w:val="000000"/>
          <w:position w:val="0"/>
        </w:rPr>
        <w:t>Светильники с защитой от водяных струй должны иметь каучуковое или резиновое уплотнение между стеклом и корпусом.</w:t>
      </w:r>
    </w:p>
    <w:p>
      <w:pPr>
        <w:pStyle w:val="Style7"/>
        <w:widowControl w:val="0"/>
        <w:keepNext w:val="0"/>
        <w:keepLines w:val="0"/>
        <w:shd w:val="clear" w:color="auto" w:fill="auto"/>
        <w:bidi w:val="0"/>
        <w:jc w:val="left"/>
        <w:spacing w:before="0" w:after="0" w:line="322" w:lineRule="exact"/>
        <w:ind w:left="960" w:right="0" w:firstLine="0"/>
      </w:pPr>
      <w:r>
        <w:rPr>
          <w:rStyle w:val="CharStyle31"/>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представитель Уполномоченного органа пояснил, что Заявитель в первой части заявки при описании товара указал конкретные показатели, не соответствующие требованиям регламентирующего ГОСТа: «..</w:t>
      </w:r>
      <w:r>
        <w:rPr>
          <w:rStyle w:val="CharStyle23"/>
        </w:rPr>
        <w:t>по</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номенклатурной позиции «Унитаз компакт с бачком» установлены следующие значения:</w:t>
      </w:r>
    </w:p>
    <w:p>
      <w:pPr>
        <w:pStyle w:val="Style19"/>
        <w:numPr>
          <w:ilvl w:val="0"/>
          <w:numId w:val="7"/>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«Требуется соответствие ГОСТ 30493-96»;</w:t>
      </w:r>
    </w:p>
    <w:p>
      <w:pPr>
        <w:pStyle w:val="Style19"/>
        <w:numPr>
          <w:ilvl w:val="0"/>
          <w:numId w:val="7"/>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«Унитаз должен быть с цельноотлитой полочкой с прямым или косым выпуском или без цельноотлитой полочки с косым выпуском»;</w:t>
      </w:r>
    </w:p>
    <w:p>
      <w:pPr>
        <w:pStyle w:val="Style19"/>
        <w:numPr>
          <w:ilvl w:val="0"/>
          <w:numId w:val="7"/>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«Размеры унитаза в мм: </w:t>
      </w:r>
      <w:r>
        <w:rPr>
          <w:lang w:val="en-US" w:eastAsia="en-US" w:bidi="en-US"/>
          <w:w w:val="100"/>
          <w:spacing w:val="0"/>
          <w:color w:val="000000"/>
          <w:position w:val="0"/>
        </w:rPr>
        <w:t xml:space="preserve">h </w:t>
      </w:r>
      <w:r>
        <w:rPr>
          <w:lang w:val="ru-RU" w:eastAsia="ru-RU" w:bidi="ru-RU"/>
          <w:w w:val="100"/>
          <w:spacing w:val="0"/>
          <w:color w:val="000000"/>
          <w:position w:val="0"/>
        </w:rPr>
        <w:t>320/350».</w:t>
      </w:r>
    </w:p>
    <w:p>
      <w:pPr>
        <w:pStyle w:val="Style19"/>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свою очередь, по данной номенклатурной позиции участником электронного аукциона подтверждено соответствие ГОСТ 30493-96, а также указана следующая информация:</w:t>
      </w:r>
    </w:p>
    <w:p>
      <w:pPr>
        <w:pStyle w:val="Style19"/>
        <w:numPr>
          <w:ilvl w:val="0"/>
          <w:numId w:val="7"/>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«Унитаз </w:t>
      </w:r>
      <w:r>
        <w:rPr>
          <w:rStyle w:val="CharStyle22"/>
        </w:rPr>
        <w:t>с цельноотлитой полочкой</w:t>
      </w:r>
      <w:r>
        <w:rPr>
          <w:lang w:val="ru-RU" w:eastAsia="ru-RU" w:bidi="ru-RU"/>
          <w:w w:val="100"/>
          <w:spacing w:val="0"/>
          <w:color w:val="000000"/>
          <w:position w:val="0"/>
        </w:rPr>
        <w:t xml:space="preserve"> с косым выпуском»;</w:t>
      </w:r>
    </w:p>
    <w:p>
      <w:pPr>
        <w:pStyle w:val="Style19"/>
        <w:numPr>
          <w:ilvl w:val="0"/>
          <w:numId w:val="7"/>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«Размеры унитаза в мм: </w:t>
      </w:r>
      <w:r>
        <w:rPr>
          <w:lang w:val="en-US" w:eastAsia="en-US" w:bidi="en-US"/>
          <w:w w:val="100"/>
          <w:spacing w:val="0"/>
          <w:color w:val="000000"/>
          <w:position w:val="0"/>
        </w:rPr>
        <w:t xml:space="preserve">h </w:t>
      </w:r>
      <w:r>
        <w:rPr>
          <w:lang w:val="ru-RU" w:eastAsia="ru-RU" w:bidi="ru-RU"/>
          <w:w w:val="100"/>
          <w:spacing w:val="0"/>
          <w:color w:val="000000"/>
          <w:position w:val="0"/>
        </w:rPr>
        <w:t>320» (цитата из заявки).</w:t>
      </w:r>
    </w:p>
    <w:p>
      <w:pPr>
        <w:pStyle w:val="Style19"/>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В соответствии с таблицей 3 ГОСТ 30493-96 «Изделия санитарные керамические. Типы и основные размеры (с Поправкой)» размер </w:t>
      </w:r>
      <w:r>
        <w:rPr>
          <w:lang w:val="en-US" w:eastAsia="en-US" w:bidi="en-US"/>
          <w:w w:val="100"/>
          <w:spacing w:val="0"/>
          <w:color w:val="000000"/>
          <w:position w:val="0"/>
        </w:rPr>
        <w:t xml:space="preserve">h </w:t>
      </w:r>
      <w:r>
        <w:rPr>
          <w:lang w:val="ru-RU" w:eastAsia="ru-RU" w:bidi="ru-RU"/>
          <w:w w:val="100"/>
          <w:spacing w:val="0"/>
          <w:color w:val="000000"/>
          <w:position w:val="0"/>
        </w:rPr>
        <w:t xml:space="preserve">установлен исключительно для унитаза </w:t>
      </w:r>
      <w:r>
        <w:rPr>
          <w:rStyle w:val="CharStyle22"/>
        </w:rPr>
        <w:t>без</w:t>
      </w:r>
      <w:r>
        <w:rPr>
          <w:lang w:val="ru-RU" w:eastAsia="ru-RU" w:bidi="ru-RU"/>
          <w:w w:val="100"/>
          <w:spacing w:val="0"/>
          <w:color w:val="000000"/>
          <w:position w:val="0"/>
        </w:rPr>
        <w:t xml:space="preserve"> </w:t>
      </w:r>
      <w:r>
        <w:rPr>
          <w:rStyle w:val="CharStyle22"/>
        </w:rPr>
        <w:t>цельнолитой полочки</w:t>
      </w:r>
      <w:r>
        <w:rPr>
          <w:lang w:val="ru-RU" w:eastAsia="ru-RU" w:bidi="ru-RU"/>
          <w:w w:val="100"/>
          <w:spacing w:val="0"/>
          <w:color w:val="000000"/>
          <w:position w:val="0"/>
        </w:rPr>
        <w:t>.</w:t>
      </w:r>
    </w:p>
    <w:p>
      <w:pPr>
        <w:pStyle w:val="Style19"/>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Таким образом, участником предложен товар, используемый при выполнении работ не соответствующий требованиям документации об электронном аукционе.</w:t>
      </w:r>
    </w:p>
    <w:p>
      <w:pPr>
        <w:pStyle w:val="Style19"/>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по номенклатурной позиции «Светильник» установлены следующие значения:</w:t>
      </w:r>
    </w:p>
    <w:p>
      <w:pPr>
        <w:pStyle w:val="Style19"/>
        <w:numPr>
          <w:ilvl w:val="0"/>
          <w:numId w:val="7"/>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«Степень защиты </w:t>
      </w:r>
      <w:r>
        <w:rPr>
          <w:lang w:val="en-US" w:eastAsia="en-US" w:bidi="en-US"/>
          <w:w w:val="100"/>
          <w:spacing w:val="0"/>
          <w:color w:val="000000"/>
          <w:position w:val="0"/>
        </w:rPr>
        <w:t xml:space="preserve">IP </w:t>
      </w:r>
      <w:r>
        <w:rPr>
          <w:lang w:val="ru-RU" w:eastAsia="ru-RU" w:bidi="ru-RU"/>
          <w:w w:val="100"/>
          <w:spacing w:val="0"/>
          <w:color w:val="000000"/>
          <w:position w:val="0"/>
        </w:rPr>
        <w:t xml:space="preserve">не менее </w:t>
      </w:r>
      <w:r>
        <w:rPr>
          <w:lang w:val="en-US" w:eastAsia="en-US" w:bidi="en-US"/>
          <w:w w:val="100"/>
          <w:spacing w:val="0"/>
          <w:color w:val="000000"/>
          <w:position w:val="0"/>
        </w:rPr>
        <w:t xml:space="preserve">IP44 </w:t>
      </w:r>
      <w:r>
        <w:rPr>
          <w:lang w:val="ru-RU" w:eastAsia="ru-RU" w:bidi="ru-RU"/>
          <w:w w:val="100"/>
          <w:spacing w:val="0"/>
          <w:color w:val="000000"/>
          <w:position w:val="0"/>
        </w:rPr>
        <w:t>по ГОСТ 14254-2015»;</w:t>
      </w:r>
    </w:p>
    <w:p>
      <w:pPr>
        <w:pStyle w:val="Style19"/>
        <w:numPr>
          <w:ilvl w:val="0"/>
          <w:numId w:val="7"/>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«Светильники с защитой от водяных струй должны иметь каучуковое или резиновое уплотнение между стеклом и корпусом»;</w:t>
      </w:r>
    </w:p>
    <w:p>
      <w:pPr>
        <w:pStyle w:val="Style19"/>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свою очередь, по данной номенклатурной позиции участником электронного аукциона указана следующая информация:</w:t>
      </w:r>
    </w:p>
    <w:p>
      <w:pPr>
        <w:pStyle w:val="Style19"/>
        <w:numPr>
          <w:ilvl w:val="0"/>
          <w:numId w:val="7"/>
        </w:numPr>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 xml:space="preserve"> «Степень защиты </w:t>
      </w:r>
      <w:r>
        <w:rPr>
          <w:rStyle w:val="CharStyle21"/>
          <w:lang w:val="en-US" w:eastAsia="en-US" w:bidi="en-US"/>
        </w:rPr>
        <w:t xml:space="preserve">IP44 </w:t>
      </w:r>
      <w:r>
        <w:rPr>
          <w:lang w:val="ru-RU" w:eastAsia="ru-RU" w:bidi="ru-RU"/>
          <w:w w:val="100"/>
          <w:spacing w:val="0"/>
          <w:color w:val="000000"/>
          <w:position w:val="0"/>
        </w:rPr>
        <w:t>по ГОСТ 14254-2015»;</w:t>
      </w:r>
    </w:p>
    <w:p>
      <w:pPr>
        <w:pStyle w:val="Style19"/>
        <w:numPr>
          <w:ilvl w:val="0"/>
          <w:numId w:val="7"/>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«Светильники </w:t>
      </w:r>
      <w:r>
        <w:rPr>
          <w:rStyle w:val="CharStyle21"/>
        </w:rPr>
        <w:t xml:space="preserve">с защитой от водяных струй </w:t>
      </w:r>
      <w:r>
        <w:rPr>
          <w:lang w:val="ru-RU" w:eastAsia="ru-RU" w:bidi="ru-RU"/>
          <w:w w:val="100"/>
          <w:spacing w:val="0"/>
          <w:color w:val="000000"/>
          <w:position w:val="0"/>
        </w:rPr>
        <w:t>имеют резиновое уплотнение между стеклом и корпусом» (цитата из заявки).</w:t>
      </w:r>
    </w:p>
    <w:p>
      <w:pPr>
        <w:pStyle w:val="Style19"/>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В соответствии с таблицей 3 ГОСТ 14254-2015 </w:t>
      </w:r>
      <w:r>
        <w:rPr>
          <w:lang w:val="en-US" w:eastAsia="en-US" w:bidi="en-US"/>
          <w:w w:val="100"/>
          <w:spacing w:val="0"/>
          <w:color w:val="000000"/>
          <w:position w:val="0"/>
        </w:rPr>
        <w:t xml:space="preserve">(IEC </w:t>
      </w:r>
      <w:r>
        <w:rPr>
          <w:lang w:val="ru-RU" w:eastAsia="ru-RU" w:bidi="ru-RU"/>
          <w:w w:val="100"/>
          <w:spacing w:val="0"/>
          <w:color w:val="000000"/>
          <w:position w:val="0"/>
        </w:rPr>
        <w:t xml:space="preserve">60529:2013) Степени защиты, обеспечиваемые оболочками (Код </w:t>
      </w:r>
      <w:r>
        <w:rPr>
          <w:lang w:val="en-US" w:eastAsia="en-US" w:bidi="en-US"/>
          <w:w w:val="100"/>
          <w:spacing w:val="0"/>
          <w:color w:val="000000"/>
          <w:position w:val="0"/>
        </w:rPr>
        <w:t xml:space="preserve">IP)» </w:t>
      </w:r>
      <w:r>
        <w:rPr>
          <w:lang w:val="ru-RU" w:eastAsia="ru-RU" w:bidi="ru-RU"/>
          <w:w w:val="100"/>
          <w:spacing w:val="0"/>
          <w:color w:val="000000"/>
          <w:position w:val="0"/>
        </w:rPr>
        <w:t>вторая характеристическая цифра 4 означает защиту от сплошного обрызгивания. Исходя из указанной степени защиты, участником электронного аукциона предложен светильник без защиты от водяных струй.</w:t>
      </w:r>
    </w:p>
    <w:p>
      <w:pPr>
        <w:pStyle w:val="Style19"/>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Таким образом, участником предложен товар, используемый при выполнении работ не</w:t>
      </w:r>
    </w:p>
    <w:p>
      <w:pPr>
        <w:pStyle w:val="Style1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соответствующий требованиям документации об электронном аукционе</w:t>
      </w:r>
      <w:r>
        <w:rPr>
          <w:rStyle w:val="CharStyle32"/>
        </w:rPr>
        <w:t xml:space="preserve"> » (цитата</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письменных пояснений).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«11» (Заявитель), предоставленную представителем Уполномоченного органа, требования соответствующих ГОСТов, с учетом пояснений представителей Сторон,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Таким образом, довод Заявителя не нашел своего подтверждения.</w:t>
      </w:r>
      <w:r>
        <w:br w:type="page"/>
      </w:r>
    </w:p>
    <w:p>
      <w:pPr>
        <w:pStyle w:val="Style7"/>
        <w:widowControl w:val="0"/>
        <w:keepNext w:val="0"/>
        <w:keepLines w:val="0"/>
        <w:shd w:val="clear" w:color="auto" w:fill="auto"/>
        <w:bidi w:val="0"/>
        <w:jc w:val="both"/>
        <w:spacing w:before="0" w:after="109" w:line="322" w:lineRule="exact"/>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13"/>
        </w:numPr>
        <w:widowControl w:val="0"/>
        <w:keepNext w:val="0"/>
        <w:keepLines w:val="0"/>
        <w:shd w:val="clear" w:color="auto" w:fill="auto"/>
        <w:bidi w:val="0"/>
        <w:jc w:val="both"/>
        <w:spacing w:before="0" w:after="72"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3"/>
        </w:numPr>
        <w:widowControl w:val="0"/>
        <w:keepNext w:val="0"/>
        <w:keepLines w:val="0"/>
        <w:shd w:val="clear" w:color="auto" w:fill="auto"/>
        <w:bidi w:val="0"/>
        <w:jc w:val="both"/>
        <w:spacing w:before="0" w:after="60" w:line="317" w:lineRule="exact"/>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 06/12745.</w:t>
      </w:r>
    </w:p>
    <w:p>
      <w:pPr>
        <w:pStyle w:val="Style7"/>
        <w:widowControl w:val="0"/>
        <w:keepNext w:val="0"/>
        <w:keepLines w:val="0"/>
        <w:shd w:val="clear" w:color="auto" w:fill="auto"/>
        <w:bidi w:val="0"/>
        <w:jc w:val="both"/>
        <w:spacing w:before="0" w:after="335" w:line="317" w:lineRule="exact"/>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7"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7" w:val="right"/>
          <w:tab w:leader="none" w:pos="8381" w:val="right"/>
          <w:tab w:leader="none" w:pos="9542"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07"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type w:val="continuous"/>
      <w:pgSz w:w="11906" w:h="16838"/>
      <w:pgMar w:top="1395" w:left="759" w:right="735" w:bottom="92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2">
    <w:name w:val="Основной текст"/>
    <w:basedOn w:val="CharStyle8"/>
    <w:rPr>
      <w:lang w:val="ru-RU" w:eastAsia="ru-RU" w:bidi="ru-RU"/>
      <w:u w:val="single"/>
      <w:w w:val="100"/>
      <w:spacing w:val="0"/>
      <w:color w:val="000000"/>
      <w:position w:val="0"/>
    </w:rPr>
  </w:style>
  <w:style w:type="character" w:customStyle="1" w:styleId="CharStyle14">
    <w:name w:val="Подпись к таблице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5">
    <w:name w:val="Подпись к таблице"/>
    <w:basedOn w:val="CharStyle14"/>
    <w:rPr>
      <w:lang w:val="ru-RU" w:eastAsia="ru-RU" w:bidi="ru-RU"/>
      <w:u w:val="single"/>
      <w:w w:val="100"/>
      <w:spacing w:val="0"/>
      <w:color w:val="000000"/>
      <w:position w:val="0"/>
    </w:rPr>
  </w:style>
  <w:style w:type="character" w:customStyle="1" w:styleId="CharStyle16">
    <w:name w:val="Основной текст + 11 pt,Полужирный"/>
    <w:basedOn w:val="CharStyle8"/>
    <w:rPr>
      <w:lang w:val="ru-RU" w:eastAsia="ru-RU" w:bidi="ru-RU"/>
      <w:b/>
      <w:bCs/>
      <w:sz w:val="22"/>
      <w:szCs w:val="22"/>
      <w:w w:val="100"/>
      <w:spacing w:val="0"/>
      <w:color w:val="000000"/>
      <w:position w:val="0"/>
    </w:rPr>
  </w:style>
  <w:style w:type="character" w:customStyle="1" w:styleId="CharStyle17">
    <w:name w:val="Основной текст + 11 pt"/>
    <w:basedOn w:val="CharStyle8"/>
    <w:rPr>
      <w:lang w:val="ru-RU" w:eastAsia="ru-RU" w:bidi="ru-RU"/>
      <w:sz w:val="22"/>
      <w:szCs w:val="22"/>
      <w:w w:val="100"/>
      <w:spacing w:val="0"/>
      <w:color w:val="000000"/>
      <w:position w:val="0"/>
    </w:rPr>
  </w:style>
  <w:style w:type="character" w:customStyle="1" w:styleId="CharStyle18">
    <w:name w:val="Основной текст"/>
    <w:basedOn w:val="CharStyle8"/>
    <w:rPr>
      <w:lang w:val="ru-RU" w:eastAsia="ru-RU" w:bidi="ru-RU"/>
      <w:w w:val="100"/>
      <w:spacing w:val="0"/>
      <w:color w:val="000000"/>
      <w:position w:val="0"/>
    </w:rPr>
  </w:style>
  <w:style w:type="character" w:customStyle="1" w:styleId="CharStyle20">
    <w:name w:val="Основной текст (5)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5) + Полужирный"/>
    <w:basedOn w:val="CharStyle20"/>
    <w:rPr>
      <w:lang w:val="ru-RU" w:eastAsia="ru-RU" w:bidi="ru-RU"/>
      <w:b/>
      <w:bCs/>
      <w:w w:val="100"/>
      <w:spacing w:val="0"/>
      <w:color w:val="000000"/>
      <w:position w:val="0"/>
    </w:rPr>
  </w:style>
  <w:style w:type="character" w:customStyle="1" w:styleId="CharStyle22">
    <w:name w:val="Основной текст (5)"/>
    <w:basedOn w:val="CharStyle20"/>
    <w:rPr>
      <w:lang w:val="ru-RU" w:eastAsia="ru-RU" w:bidi="ru-RU"/>
      <w:u w:val="single"/>
      <w:w w:val="100"/>
      <w:spacing w:val="0"/>
      <w:color w:val="000000"/>
      <w:position w:val="0"/>
    </w:rPr>
  </w:style>
  <w:style w:type="character" w:customStyle="1" w:styleId="CharStyle23">
    <w:name w:val="Основной текст + 11 pt"/>
    <w:basedOn w:val="CharStyle8"/>
    <w:rPr>
      <w:lang w:val="ru-RU" w:eastAsia="ru-RU" w:bidi="ru-RU"/>
      <w:sz w:val="22"/>
      <w:szCs w:val="22"/>
      <w:w w:val="100"/>
      <w:spacing w:val="0"/>
      <w:color w:val="000000"/>
      <w:position w:val="0"/>
    </w:rPr>
  </w:style>
  <w:style w:type="character" w:customStyle="1" w:styleId="CharStyle24">
    <w:name w:val="Основной текст"/>
    <w:basedOn w:val="CharStyle8"/>
    <w:rPr>
      <w:lang w:val="ru-RU" w:eastAsia="ru-RU" w:bidi="ru-RU"/>
      <w:w w:val="100"/>
      <w:spacing w:val="0"/>
      <w:color w:val="000000"/>
      <w:position w:val="0"/>
    </w:rPr>
  </w:style>
  <w:style w:type="character" w:customStyle="1" w:styleId="CharStyle26">
    <w:name w:val="Основной текст (6)_"/>
    <w:basedOn w:val="DefaultParagraphFont"/>
    <w:link w:val="Style25"/>
    <w:rPr>
      <w:b w:val="0"/>
      <w:bCs w:val="0"/>
      <w:i w:val="0"/>
      <w:iCs w:val="0"/>
      <w:u w:val="none"/>
      <w:strike w:val="0"/>
      <w:smallCaps w:val="0"/>
      <w:sz w:val="17"/>
      <w:szCs w:val="17"/>
      <w:rFonts w:ascii="Times New Roman" w:eastAsia="Times New Roman" w:hAnsi="Times New Roman" w:cs="Times New Roman"/>
    </w:rPr>
  </w:style>
  <w:style w:type="character" w:customStyle="1" w:styleId="CharStyle27">
    <w:name w:val="Основной текст (6)"/>
    <w:basedOn w:val="CharStyle26"/>
    <w:rPr>
      <w:lang w:val="ru-RU" w:eastAsia="ru-RU" w:bidi="ru-RU"/>
      <w:u w:val="single"/>
      <w:w w:val="100"/>
      <w:spacing w:val="0"/>
      <w:color w:val="000000"/>
      <w:position w:val="0"/>
    </w:rPr>
  </w:style>
  <w:style w:type="character" w:customStyle="1" w:styleId="CharStyle29">
    <w:name w:val="Подпись к таблице (2)_"/>
    <w:basedOn w:val="DefaultParagraphFont"/>
    <w:link w:val="Style28"/>
    <w:rPr>
      <w:b w:val="0"/>
      <w:bCs w:val="0"/>
      <w:i w:val="0"/>
      <w:iCs w:val="0"/>
      <w:u w:val="none"/>
      <w:strike w:val="0"/>
      <w:smallCaps w:val="0"/>
      <w:sz w:val="17"/>
      <w:szCs w:val="17"/>
      <w:rFonts w:ascii="Times New Roman" w:eastAsia="Times New Roman" w:hAnsi="Times New Roman" w:cs="Times New Roman"/>
    </w:rPr>
  </w:style>
  <w:style w:type="character" w:customStyle="1" w:styleId="CharStyle30">
    <w:name w:val="Основной текст + 10 pt,Полужирный,Курсив"/>
    <w:basedOn w:val="CharStyle8"/>
    <w:rPr>
      <w:lang w:val="ru-RU" w:eastAsia="ru-RU" w:bidi="ru-RU"/>
      <w:b/>
      <w:bCs/>
      <w:i/>
      <w:iCs/>
      <w:sz w:val="20"/>
      <w:szCs w:val="20"/>
      <w:w w:val="100"/>
      <w:spacing w:val="0"/>
      <w:color w:val="000000"/>
      <w:position w:val="0"/>
    </w:rPr>
  </w:style>
  <w:style w:type="character" w:customStyle="1" w:styleId="CharStyle31">
    <w:name w:val="Основной текст + Интервал 1 pt"/>
    <w:basedOn w:val="CharStyle8"/>
    <w:rPr>
      <w:lang w:val="ru-RU" w:eastAsia="ru-RU" w:bidi="ru-RU"/>
      <w:w w:val="100"/>
      <w:spacing w:val="30"/>
      <w:color w:val="000000"/>
      <w:position w:val="0"/>
    </w:rPr>
  </w:style>
  <w:style w:type="character" w:customStyle="1" w:styleId="CharStyle32">
    <w:name w:val="Основной текст (5) + 13 pt"/>
    <w:basedOn w:val="CharStyle20"/>
    <w:rPr>
      <w:lang w:val="ru-RU" w:eastAsia="ru-RU" w:bidi="ru-RU"/>
      <w:sz w:val="26"/>
      <w:szCs w:val="2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56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18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Подпись к таблице"/>
    <w:basedOn w:val="Normal"/>
    <w:link w:val="CharStyle14"/>
    <w:pPr>
      <w:widowControl w:val="0"/>
      <w:shd w:val="clear" w:color="auto" w:fill="FFFFFF"/>
      <w:jc w:val="both"/>
      <w:spacing w:line="322" w:lineRule="exact"/>
      <w:ind w:firstLine="860"/>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spacing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8">
    <w:name w:val="Подпись к таблице (2)"/>
    <w:basedOn w:val="Normal"/>
    <w:link w:val="CharStyle29"/>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