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«УниМАСТЕР» Сухоносу В.Н.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1" w:left="5829" w:right="2657" w:bottom="40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Семьи Шамшиных, 95а, оф. 9 г. Новосибирск, 630005 </w:t>
      </w:r>
      <w:r>
        <w:fldChar w:fldCharType="begin"/>
      </w:r>
      <w:r>
        <w:rPr>
          <w:color w:val="000000"/>
        </w:rPr>
        <w:instrText> HYPERLINK "mailto:unimaster97@mail.ru"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unimaster97@mail.ru</w:t>
      </w:r>
      <w:r>
        <w:fldChar w:fldCharType="end"/>
      </w:r>
    </w:p>
    <w:p>
      <w:pPr>
        <w:widowControl w:val="0"/>
        <w:spacing w:line="1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8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8"/>
        <w:tabs>
          <w:tab w:leader="none" w:pos="251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70" w:line="200" w:lineRule="exact"/>
        <w:ind w:left="10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</w:r>
      <w:r>
        <w:rPr>
          <w:rStyle w:val="CharStyle13"/>
          <w:b w:val="0"/>
          <w:bCs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3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[уведомление]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жалобу ООО «УниМАСТЕР» на действия ЕБУЗ НСО «Детская городская клиническая больница № 6» при проведении электронного аукциона №0351300042917000026 на оказание услуг по техническому обслуживанию автоматических установок пожарной сигнализации и систем оповещения людей при пожаре,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нарушение п.4) ч.8 ст. 105 Федерального закона № 44-ФЗ жалоба ООО «УниМАСТЕР» не содержит доводов, т.к. в жалобе не указано, в чем именно заключается не объективность описания объекта закупки, каким образом описание объекта закупки ограничило возможность участия ООО «УниМАСТЕР» в данном аукционе. Таким образом, данная жалоба не соответствует требованиям, установленным ст. 105 Федерального закона № 44-ФЗ, и на основании и п.1) ч. 11 ст.105 Федерального закона № 44-ФЗ должна быть возвращена подавшему её лицу без рассмотрения.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данной жалобы в соответствии с п.1) ч.11 ст.105 Федерального закона № 44-ФЗ.</w:t>
      </w:r>
    </w:p>
    <w:p>
      <w:pPr>
        <w:pStyle w:val="Style3"/>
        <w:framePr w:h="209" w:wrap="around" w:vAnchor="text" w:hAnchor="margin" w:x="8535" w:y="2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А.Е. Швалов</w:t>
      </w:r>
    </w:p>
    <w:p>
      <w:pPr>
        <w:pStyle w:val="Style6"/>
        <w:framePr w:w="1442" w:h="421" w:wrap="notBeside" w:vAnchor="text" w:hAnchor="margin" w:x="98" w:y="2426"/>
        <w:widowControl w:val="0"/>
        <w:keepNext w:val="0"/>
        <w:keepLines w:val="0"/>
        <w:shd w:val="clear" w:color="auto" w:fill="auto"/>
        <w:bidi w:val="0"/>
        <w:jc w:val="both"/>
        <w:spacing w:before="0" w:after="0" w:line="209" w:lineRule="exact"/>
        <w:ind w:left="0" w:right="100" w:firstLine="0"/>
      </w:pPr>
      <w:r>
        <w:rPr>
          <w:rStyle w:val="CharStyle7"/>
          <w:spacing w:val="0"/>
        </w:rPr>
        <w:t>Д. Е. Студеникин 8 383 231-01-85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46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7320" w:right="0" w:firstLine="0"/>
      </w:pPr>
      <w:bookmarkStart w:id="0" w:name="bookmark0"/>
      <w:r>
        <w:rPr>
          <w:rStyle w:val="CharStyle16"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159106</w:t>
      </w:r>
      <w:bookmarkEnd w:id="0"/>
    </w:p>
    <w:sectPr>
      <w:type w:val="continuous"/>
      <w:pgSz w:w="11906" w:h="16838"/>
      <w:pgMar w:top="411" w:left="911" w:right="911" w:bottom="40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(2) + Не полужирный"/>
    <w:basedOn w:val="CharStyle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6"/>
      <w:szCs w:val="36"/>
      <w:rFonts w:ascii="Garamond" w:eastAsia="Garamond" w:hAnsi="Garamond" w:cs="Garamond"/>
      <w:spacing w:val="30"/>
    </w:rPr>
  </w:style>
  <w:style w:type="character" w:customStyle="1" w:styleId="CharStyle16">
    <w:name w:val="Заголовок №1 + Candara,15 pt,Интервал 0 pt"/>
    <w:basedOn w:val="CharStyle15"/>
    <w:rPr>
      <w:lang w:val="ru-RU" w:eastAsia="ru-RU" w:bidi="ru-RU"/>
      <w:sz w:val="30"/>
      <w:szCs w:val="30"/>
      <w:rFonts w:ascii="Candara" w:eastAsia="Candara" w:hAnsi="Candara" w:cs="Candara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4)"/>
    <w:basedOn w:val="Normal"/>
    <w:link w:val="CharStyle12"/>
    <w:pPr>
      <w:widowControl w:val="0"/>
      <w:shd w:val="clear" w:color="auto" w:fill="FFFFFF"/>
      <w:jc w:val="center"/>
      <w:spacing w:after="7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6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Garamond" w:eastAsia="Garamond" w:hAnsi="Garamond" w:cs="Garamond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