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241" w:left="2320" w:right="8661" w:bottom="270" w:header="0" w:footer="3" w:gutter="0"/>
          <w:rtlGutter w:val="0"/>
          <w:cols w:space="720"/>
          <w:noEndnote/>
          <w:docGrid w:linePitch="360"/>
        </w:sectPr>
      </w:pPr>
    </w:p>
    <w:p>
      <w:pPr>
        <w:widowControl w:val="0"/>
        <w:spacing w:line="74" w:lineRule="exact"/>
        <w:rPr>
          <w:sz w:val="6"/>
          <w:szCs w:val="6"/>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41"/>
        <w:ind w:left="0" w:right="0" w:firstLine="0"/>
      </w:pPr>
      <w:r>
        <w:rPr>
          <w:lang w:val="ru-RU" w:eastAsia="ru-RU" w:bidi="ru-RU"/>
          <w:w w:val="100"/>
          <w:color w:val="000000"/>
          <w:position w:val="0"/>
        </w:rPr>
        <w:t>ФЕДЕРАЛЬНАЯ АНТИМОНОПОЛЬНАЯ СЛУЖБА</w:t>
      </w:r>
    </w:p>
    <w:p>
      <w:pPr>
        <w:pStyle w:val="Style5"/>
        <w:widowControl w:val="0"/>
        <w:keepNext w:val="0"/>
        <w:keepLines w:val="0"/>
        <w:shd w:val="clear" w:color="auto" w:fill="auto"/>
        <w:bidi w:val="0"/>
        <w:spacing w:before="0" w:after="0"/>
        <w:ind w:left="0" w:right="0" w:firstLine="0"/>
      </w:pPr>
      <w:r>
        <w:rPr>
          <w:lang w:val="ru-RU" w:eastAsia="ru-RU" w:bidi="ru-RU"/>
          <w:w w:val="100"/>
          <w:color w:val="000000"/>
          <w:position w:val="0"/>
        </w:rPr>
        <w:t>УПРАВЛЕНИЕ Федеральной антимонопольной службы по Липецкой области (Липецкое УФАС России)</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ил. Плеханова, I. г. Липецк, 398050 тел./факс (4742) 27-14-82 </w:t>
      </w:r>
      <w:r>
        <w:rPr>
          <w:rStyle w:val="CharStyle9"/>
          <w:b w:val="0"/>
          <w:bCs w:val="0"/>
        </w:rPr>
        <w:t xml:space="preserve">e-mail: </w:t>
      </w:r>
      <w:r>
        <w:rPr>
          <w:rStyle w:val="CharStyle9"/>
          <w:lang w:val="ru-RU" w:eastAsia="ru-RU" w:bidi="ru-RU"/>
          <w:b w:val="0"/>
          <w:bCs w:val="0"/>
        </w:rPr>
        <w:t xml:space="preserve">ю48(а </w:t>
      </w:r>
      <w:r>
        <w:rPr>
          <w:rStyle w:val="CharStyle9"/>
          <w:b w:val="0"/>
          <w:bCs w:val="0"/>
        </w:rPr>
        <w:t>fas.gov,</w:t>
      </w:r>
      <w:r>
        <w:rPr>
          <w:rStyle w:val="CharStyle9"/>
          <w:lang w:val="ru-RU" w:eastAsia="ru-RU" w:bidi="ru-RU"/>
          <w:b w:val="0"/>
          <w:bCs w:val="0"/>
        </w:rPr>
        <w:t xml:space="preserve">ги </w:t>
      </w:r>
      <w:r>
        <w:rPr>
          <w:rStyle w:val="CharStyle9"/>
          <w:b w:val="0"/>
          <w:bCs w:val="0"/>
        </w:rPr>
        <w:t>http:"</w:t>
      </w:r>
      <w:r>
        <w:fldChar w:fldCharType="begin"/>
      </w:r>
      <w:r>
        <w:rPr>
          <w:rStyle w:val="CharStyle9"/>
        </w:rPr>
        <w:instrText> HYPERLINK "http://www.lipetsk.fa5.gov.ru" </w:instrText>
      </w:r>
      <w:r>
        <w:fldChar w:fldCharType="separate"/>
      </w:r>
      <w:r>
        <w:rPr>
          <w:rStyle w:val="Hyperlink"/>
          <w:b w:val="0"/>
          <w:bCs w:val="0"/>
        </w:rPr>
        <w:t>www.lipetsk.fa5.gov.ru</w:t>
      </w:r>
      <w:r>
        <w:fldChar w:fldCharType="end"/>
      </w:r>
    </w:p>
    <w:p>
      <w:pPr>
        <w:pStyle w:val="Style10"/>
        <w:tabs>
          <w:tab w:leader="none" w:pos="1899" w:val="left"/>
          <w:tab w:leader="none" w:pos="3618" w:val="right"/>
        </w:tabs>
        <w:widowControl w:val="0"/>
        <w:keepNext/>
        <w:keepLines/>
        <w:shd w:val="clear" w:color="auto" w:fill="auto"/>
        <w:bidi w:val="0"/>
        <w:spacing w:before="0" w:after="0" w:line="420" w:lineRule="exact"/>
        <w:ind w:left="200" w:right="0" w:firstLine="0"/>
      </w:pPr>
      <w:bookmarkStart w:id="0" w:name="bookmark0"/>
      <w:r>
        <w:rPr>
          <w:rStyle w:val="CharStyle12"/>
          <w:i/>
          <w:iCs/>
        </w:rPr>
        <w:t>/r</w:t>
      </w:r>
      <w:r>
        <w:rPr>
          <w:w w:val="100"/>
          <w:spacing w:val="0"/>
          <w:color w:val="000000"/>
          <w:position w:val="0"/>
        </w:rPr>
        <w:t>aicr</w:t>
      </w:r>
      <w:r>
        <w:rPr>
          <w:lang w:val="ru-RU" w:eastAsia="ru-RU" w:bidi="ru-RU"/>
          <w:w w:val="100"/>
          <w:spacing w:val="0"/>
          <w:color w:val="000000"/>
          <w:position w:val="0"/>
        </w:rPr>
        <w:t>г</w:t>
      </w:r>
      <w:r>
        <w:rPr>
          <w:rStyle w:val="CharStyle13"/>
          <w:i w:val="0"/>
          <w:iCs w:val="0"/>
        </w:rPr>
        <w:tab/>
      </w:r>
      <w:r>
        <w:rPr>
          <w:rStyle w:val="CharStyle13"/>
          <w:vertAlign w:val="subscript"/>
          <w:i w:val="0"/>
          <w:iCs w:val="0"/>
        </w:rPr>
        <w:t>№</w:t>
      </w:r>
      <w:r>
        <w:rPr>
          <w:rStyle w:val="CharStyle13"/>
          <w:i w:val="0"/>
          <w:iCs w:val="0"/>
        </w:rPr>
        <w:tab/>
      </w:r>
      <w:r>
        <w:rPr>
          <w:rStyle w:val="CharStyle12"/>
          <w:lang w:val="ru-RU" w:eastAsia="ru-RU" w:bidi="ru-RU"/>
          <w:i/>
          <w:iCs/>
        </w:rPr>
        <w:t>к</w:t>
      </w:r>
      <w:bookmarkEnd w:id="0"/>
    </w:p>
    <w:p>
      <w:pPr>
        <w:pStyle w:val="Style14"/>
        <w:widowControl w:val="0"/>
        <w:keepNext w:val="0"/>
        <w:keepLines w:val="0"/>
        <w:shd w:val="clear" w:color="auto" w:fill="auto"/>
        <w:bidi w:val="0"/>
        <w:jc w:val="left"/>
        <w:spacing w:before="0" w:after="498"/>
        <w:ind w:left="0" w:right="1520" w:firstLine="0"/>
      </w:pPr>
      <w:r>
        <w:rPr>
          <w:lang w:val="ru-RU" w:eastAsia="ru-RU" w:bidi="ru-RU"/>
          <w:sz w:val="24"/>
          <w:szCs w:val="24"/>
          <w:w w:val="100"/>
          <w:color w:val="000000"/>
          <w:position w:val="0"/>
        </w:rPr>
        <w:t xml:space="preserve">ООО «Стройальянс» </w:t>
      </w:r>
      <w:r>
        <w:fldChar w:fldCharType="begin"/>
      </w:r>
      <w:r>
        <w:rPr>
          <w:color w:val="000000"/>
        </w:rPr>
        <w:instrText> HYPERLINK "mailto:stroyalyans70@mail.ru" </w:instrText>
      </w:r>
      <w:r>
        <w:fldChar w:fldCharType="separate"/>
      </w:r>
      <w:r>
        <w:rPr>
          <w:rStyle w:val="Hyperlink"/>
          <w:lang w:val="en-US" w:eastAsia="en-US" w:bidi="en-US"/>
          <w:sz w:val="24"/>
          <w:szCs w:val="24"/>
          <w:w w:val="100"/>
          <w:position w:val="0"/>
        </w:rPr>
        <w:t>stroyalyans70@mail.ru</w:t>
      </w:r>
      <w:r>
        <w:fldChar w:fldCharType="end"/>
      </w:r>
    </w:p>
    <w:p>
      <w:pPr>
        <w:pStyle w:val="Style14"/>
        <w:widowControl w:val="0"/>
        <w:keepNext w:val="0"/>
        <w:keepLines w:val="0"/>
        <w:shd w:val="clear" w:color="auto" w:fill="auto"/>
        <w:bidi w:val="0"/>
        <w:jc w:val="left"/>
        <w:spacing w:before="0" w:after="0" w:line="331" w:lineRule="exact"/>
        <w:ind w:left="0" w:right="0" w:firstLine="0"/>
        <w:sectPr>
          <w:type w:val="continuous"/>
          <w:pgSz w:w="11906" w:h="16838"/>
          <w:pgMar w:top="241" w:left="702" w:right="1988" w:bottom="270" w:header="0" w:footer="3" w:gutter="0"/>
          <w:rtlGutter w:val="0"/>
          <w:cols w:num="2" w:space="480"/>
          <w:noEndnote/>
          <w:docGrid w:linePitch="360"/>
        </w:sectPr>
      </w:pPr>
      <w:r>
        <w:rPr>
          <w:lang w:val="ru-RU" w:eastAsia="ru-RU" w:bidi="ru-RU"/>
          <w:sz w:val="24"/>
          <w:szCs w:val="24"/>
          <w:w w:val="100"/>
          <w:color w:val="000000"/>
          <w:position w:val="0"/>
        </w:rPr>
        <w:t>Муниципальное учреждение "Управление капитального ремонта" г. Липецка</w:t>
      </w: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0" w:after="609" w:line="240" w:lineRule="exact"/>
        <w:ind w:left="4800" w:right="0" w:firstLine="0"/>
      </w:pPr>
      <w:r>
        <w:fldChar w:fldCharType="begin"/>
      </w:r>
      <w:r>
        <w:rPr>
          <w:color w:val="000000"/>
        </w:rPr>
        <w:instrText> HYPERLINK "mailto:mzakaz@lipetsk.ru" </w:instrText>
      </w:r>
      <w:r>
        <w:fldChar w:fldCharType="separate"/>
      </w:r>
      <w:r>
        <w:rPr>
          <w:rStyle w:val="Hyperlink"/>
          <w:lang w:val="en-US" w:eastAsia="en-US" w:bidi="en-US"/>
          <w:sz w:val="24"/>
          <w:szCs w:val="24"/>
          <w:w w:val="100"/>
          <w:position w:val="0"/>
        </w:rPr>
        <w:t>mzakaz@lipetsk.ru</w:t>
      </w:r>
      <w:r>
        <w:fldChar w:fldCharType="end"/>
      </w:r>
    </w:p>
    <w:p>
      <w:pPr>
        <w:pStyle w:val="Style14"/>
        <w:widowControl w:val="0"/>
        <w:keepNext w:val="0"/>
        <w:keepLines w:val="0"/>
        <w:shd w:val="clear" w:color="auto" w:fill="auto"/>
        <w:bidi w:val="0"/>
        <w:jc w:val="left"/>
        <w:spacing w:before="0" w:after="313" w:line="331" w:lineRule="exact"/>
        <w:ind w:left="4800" w:right="1400" w:firstLine="0"/>
      </w:pPr>
      <w:r>
        <w:rPr>
          <w:lang w:val="ru-RU" w:eastAsia="ru-RU" w:bidi="ru-RU"/>
          <w:sz w:val="24"/>
          <w:szCs w:val="24"/>
          <w:w w:val="100"/>
          <w:color w:val="000000"/>
          <w:position w:val="0"/>
        </w:rPr>
        <w:t>Управление муниципального заказа администрации города Липецка</w:t>
      </w:r>
    </w:p>
    <w:p>
      <w:pPr>
        <w:pStyle w:val="Style14"/>
        <w:widowControl w:val="0"/>
        <w:keepNext w:val="0"/>
        <w:keepLines w:val="0"/>
        <w:shd w:val="clear" w:color="auto" w:fill="auto"/>
        <w:bidi w:val="0"/>
        <w:jc w:val="left"/>
        <w:spacing w:before="0" w:after="342" w:line="240" w:lineRule="exact"/>
        <w:ind w:left="4800" w:right="0" w:firstLine="0"/>
      </w:pPr>
      <w:r>
        <w:fldChar w:fldCharType="begin"/>
      </w:r>
      <w:r>
        <w:rPr>
          <w:color w:val="000000"/>
        </w:rPr>
        <w:instrText> HYPERLINK "mailto:golikov-pa@cominfo.lipetsk.ru" </w:instrText>
      </w:r>
      <w:r>
        <w:fldChar w:fldCharType="separate"/>
      </w:r>
      <w:r>
        <w:rPr>
          <w:rStyle w:val="Hyperlink"/>
          <w:lang w:val="en-US" w:eastAsia="en-US" w:bidi="en-US"/>
          <w:sz w:val="24"/>
          <w:szCs w:val="24"/>
          <w:w w:val="100"/>
          <w:position w:val="0"/>
        </w:rPr>
        <w:t>golikov-pa@cominfo.lipetsk.ru</w:t>
      </w:r>
      <w:r>
        <w:fldChar w:fldCharType="end"/>
      </w:r>
    </w:p>
    <w:p>
      <w:pPr>
        <w:pStyle w:val="Style14"/>
        <w:widowControl w:val="0"/>
        <w:keepNext w:val="0"/>
        <w:keepLines w:val="0"/>
        <w:shd w:val="clear" w:color="auto" w:fill="auto"/>
        <w:bidi w:val="0"/>
        <w:jc w:val="left"/>
        <w:spacing w:before="0" w:after="256"/>
        <w:ind w:left="4800" w:right="1400" w:firstLine="0"/>
      </w:pPr>
      <w:r>
        <w:rPr>
          <w:lang w:val="ru-RU" w:eastAsia="ru-RU" w:bidi="ru-RU"/>
          <w:sz w:val="24"/>
          <w:szCs w:val="24"/>
          <w:w w:val="100"/>
          <w:color w:val="000000"/>
          <w:position w:val="0"/>
        </w:rPr>
        <w:t xml:space="preserve">ООО "РТС-тендер" </w:t>
      </w:r>
      <w:r>
        <w:fldChar w:fldCharType="begin"/>
      </w:r>
      <w:r>
        <w:rPr>
          <w:color w:val="000000"/>
        </w:rPr>
        <w:instrText> HYPERLINK "mailto:ko@rts-tender.ru" </w:instrText>
      </w:r>
      <w:r>
        <w:fldChar w:fldCharType="separate"/>
      </w:r>
      <w:r>
        <w:rPr>
          <w:rStyle w:val="Hyperlink"/>
          <w:lang w:val="en-US" w:eastAsia="en-US" w:bidi="en-US"/>
          <w:sz w:val="24"/>
          <w:szCs w:val="24"/>
          <w:w w:val="100"/>
          <w:position w:val="0"/>
        </w:rPr>
        <w:t>ko@rts-tender.ru</w:t>
      </w:r>
      <w:r>
        <w:fldChar w:fldCharType="end"/>
      </w:r>
    </w:p>
    <w:p>
      <w:pPr>
        <w:pStyle w:val="Style14"/>
        <w:widowControl w:val="0"/>
        <w:keepNext w:val="0"/>
        <w:keepLines w:val="0"/>
        <w:shd w:val="clear" w:color="auto" w:fill="auto"/>
        <w:bidi w:val="0"/>
        <w:jc w:val="left"/>
        <w:spacing w:before="0" w:after="0" w:line="634" w:lineRule="exact"/>
        <w:ind w:left="3620" w:right="0" w:firstLine="0"/>
      </w:pPr>
      <w:r>
        <w:rPr>
          <w:lang w:val="ru-RU" w:eastAsia="ru-RU" w:bidi="ru-RU"/>
          <w:sz w:val="24"/>
          <w:szCs w:val="24"/>
          <w:w w:val="100"/>
          <w:color w:val="000000"/>
          <w:position w:val="0"/>
        </w:rPr>
        <w:t>РЕШЕНИЕ №379м/17</w:t>
      </w:r>
    </w:p>
    <w:p>
      <w:pPr>
        <w:pStyle w:val="Style14"/>
        <w:tabs>
          <w:tab w:leader="none" w:pos="8521" w:val="right"/>
          <w:tab w:leader="none" w:pos="9500" w:val="right"/>
        </w:tabs>
        <w:widowControl w:val="0"/>
        <w:keepNext w:val="0"/>
        <w:keepLines w:val="0"/>
        <w:shd w:val="clear" w:color="auto" w:fill="auto"/>
        <w:bidi w:val="0"/>
        <w:jc w:val="both"/>
        <w:spacing w:before="0" w:after="0" w:line="634" w:lineRule="exact"/>
        <w:ind w:left="20" w:right="0" w:firstLine="0"/>
      </w:pPr>
      <w:r>
        <w:rPr>
          <w:lang w:val="ru-RU" w:eastAsia="ru-RU" w:bidi="ru-RU"/>
          <w:sz w:val="24"/>
          <w:szCs w:val="24"/>
          <w:w w:val="100"/>
          <w:color w:val="000000"/>
          <w:position w:val="0"/>
        </w:rPr>
        <w:t>«14» ноября 2017 года</w:t>
        <w:tab/>
        <w:t>г.</w:t>
        <w:tab/>
        <w:t>Липецк</w:t>
      </w:r>
    </w:p>
    <w:p>
      <w:pPr>
        <w:pStyle w:val="Style14"/>
        <w:widowControl w:val="0"/>
        <w:keepNext w:val="0"/>
        <w:keepLines w:val="0"/>
        <w:shd w:val="clear" w:color="auto" w:fill="auto"/>
        <w:bidi w:val="0"/>
        <w:jc w:val="both"/>
        <w:spacing w:before="0" w:after="0" w:line="634" w:lineRule="exact"/>
        <w:ind w:left="20" w:right="0" w:firstLine="700"/>
      </w:pPr>
      <w:r>
        <w:rPr>
          <w:lang w:val="ru-RU" w:eastAsia="ru-RU" w:bidi="ru-RU"/>
          <w:sz w:val="24"/>
          <w:szCs w:val="24"/>
          <w:w w:val="100"/>
          <w:color w:val="000000"/>
          <w:position w:val="0"/>
        </w:rPr>
        <w:t>Резолютивная часть решения оглашена 14.11.2017.</w:t>
      </w:r>
    </w:p>
    <w:p>
      <w:pPr>
        <w:pStyle w:val="Style14"/>
        <w:widowControl w:val="0"/>
        <w:keepNext w:val="0"/>
        <w:keepLines w:val="0"/>
        <w:shd w:val="clear" w:color="auto" w:fill="auto"/>
        <w:bidi w:val="0"/>
        <w:jc w:val="both"/>
        <w:spacing w:before="0" w:after="251" w:line="240" w:lineRule="exact"/>
        <w:ind w:left="20" w:right="0" w:firstLine="700"/>
      </w:pPr>
      <w:r>
        <w:rPr>
          <w:lang w:val="ru-RU" w:eastAsia="ru-RU" w:bidi="ru-RU"/>
          <w:sz w:val="24"/>
          <w:szCs w:val="24"/>
          <w:w w:val="100"/>
          <w:color w:val="000000"/>
          <w:position w:val="0"/>
        </w:rPr>
        <w:t>Решение в полном объеме изготовлено 17.11.2017.</w:t>
      </w:r>
    </w:p>
    <w:p>
      <w:pPr>
        <w:pStyle w:val="Style14"/>
        <w:widowControl w:val="0"/>
        <w:keepNext w:val="0"/>
        <w:keepLines w:val="0"/>
        <w:shd w:val="clear" w:color="auto" w:fill="auto"/>
        <w:bidi w:val="0"/>
        <w:jc w:val="both"/>
        <w:spacing w:before="0" w:after="0" w:line="317" w:lineRule="exact"/>
        <w:ind w:left="20" w:right="580" w:firstLine="700"/>
      </w:pPr>
      <w:r>
        <w:rPr>
          <w:lang w:val="ru-RU" w:eastAsia="ru-RU" w:bidi="ru-RU"/>
          <w:sz w:val="24"/>
          <w:szCs w:val="24"/>
          <w:w w:val="100"/>
          <w:color w:val="000000"/>
          <w:position w:val="0"/>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4"/>
        <w:widowControl w:val="0"/>
        <w:keepNext w:val="0"/>
        <w:keepLines w:val="0"/>
        <w:shd w:val="clear" w:color="auto" w:fill="auto"/>
        <w:bidi w:val="0"/>
        <w:jc w:val="left"/>
        <w:spacing w:before="0" w:after="0" w:line="317" w:lineRule="exact"/>
        <w:ind w:left="20" w:right="580" w:firstLine="700"/>
      </w:pPr>
      <w:r>
        <w:rPr>
          <w:lang w:val="ru-RU" w:eastAsia="ru-RU" w:bidi="ru-RU"/>
          <w:sz w:val="24"/>
          <w:szCs w:val="24"/>
          <w:w w:val="100"/>
          <w:color w:val="000000"/>
          <w:position w:val="0"/>
        </w:rPr>
        <w:t>председатель Комиссии - И.В. Поткина - руководитель Управления; заместитель председателя Комиссии - Т.Н. Ролдугина - начальник отдела контроля закупок и торгов;</w:t>
      </w:r>
    </w:p>
    <w:p>
      <w:pPr>
        <w:pStyle w:val="Style14"/>
        <w:widowControl w:val="0"/>
        <w:keepNext w:val="0"/>
        <w:keepLines w:val="0"/>
        <w:shd w:val="clear" w:color="auto" w:fill="auto"/>
        <w:bidi w:val="0"/>
        <w:jc w:val="both"/>
        <w:spacing w:before="0" w:after="0" w:line="317" w:lineRule="exact"/>
        <w:ind w:left="20" w:right="580" w:firstLine="700"/>
      </w:pPr>
      <w:r>
        <w:rPr>
          <w:lang w:val="ru-RU" w:eastAsia="ru-RU" w:bidi="ru-RU"/>
          <w:sz w:val="24"/>
          <w:szCs w:val="24"/>
          <w:w w:val="100"/>
          <w:color w:val="000000"/>
          <w:position w:val="0"/>
        </w:rPr>
        <w:t>члены Комиссии: О.И. Панина - ведущий специалист-эксперт отдела контроля закупок и торгов,</w:t>
      </w:r>
    </w:p>
    <w:p>
      <w:pPr>
        <w:pStyle w:val="Style14"/>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в присутствии представителей:</w:t>
      </w:r>
    </w:p>
    <w:p>
      <w:pPr>
        <w:pStyle w:val="Style14"/>
        <w:numPr>
          <w:ilvl w:val="0"/>
          <w:numId w:val="1"/>
        </w:numPr>
        <w:widowControl w:val="0"/>
        <w:keepNext w:val="0"/>
        <w:keepLines w:val="0"/>
        <w:shd w:val="clear" w:color="auto" w:fill="auto"/>
        <w:bidi w:val="0"/>
        <w:jc w:val="both"/>
        <w:spacing w:before="0" w:after="0" w:line="317" w:lineRule="exact"/>
        <w:ind w:left="20" w:right="580" w:firstLine="700"/>
      </w:pPr>
      <w:r>
        <w:rPr>
          <w:lang w:val="ru-RU" w:eastAsia="ru-RU" w:bidi="ru-RU"/>
          <w:sz w:val="24"/>
          <w:szCs w:val="24"/>
          <w:w w:val="100"/>
          <w:color w:val="000000"/>
          <w:position w:val="0"/>
        </w:rPr>
        <w:t xml:space="preserve"> управления муниципального заказа администрации города Липецка - Пихуновой О.Л. (доверенность от 20.09.2017),</w:t>
      </w:r>
    </w:p>
    <w:p>
      <w:pPr>
        <w:pStyle w:val="Style14"/>
        <w:numPr>
          <w:ilvl w:val="0"/>
          <w:numId w:val="1"/>
        </w:numPr>
        <w:widowControl w:val="0"/>
        <w:keepNext w:val="0"/>
        <w:keepLines w:val="0"/>
        <w:shd w:val="clear" w:color="auto" w:fill="auto"/>
        <w:bidi w:val="0"/>
        <w:jc w:val="both"/>
        <w:spacing w:before="0" w:after="0" w:line="317" w:lineRule="exact"/>
        <w:ind w:left="20" w:right="580" w:firstLine="700"/>
      </w:pPr>
      <w:r>
        <w:rPr>
          <w:lang w:val="ru-RU" w:eastAsia="ru-RU" w:bidi="ru-RU"/>
          <w:sz w:val="24"/>
          <w:szCs w:val="24"/>
          <w:w w:val="100"/>
          <w:color w:val="000000"/>
          <w:position w:val="0"/>
        </w:rPr>
        <w:t xml:space="preserve"> муниципального учреждения "Управление капитального ремонта" г. Липецка - Скосарева А.Г. (доверенность от 17.05.2017),</w:t>
      </w:r>
    </w:p>
    <w:p>
      <w:pPr>
        <w:pStyle w:val="Style16"/>
        <w:widowControl w:val="0"/>
        <w:keepNext/>
        <w:keepLines/>
        <w:shd w:val="clear" w:color="auto" w:fill="auto"/>
        <w:bidi w:val="0"/>
        <w:spacing w:before="0" w:after="0" w:line="360" w:lineRule="exact"/>
        <w:ind w:left="0" w:right="280" w:firstLine="0"/>
      </w:pPr>
      <w:bookmarkStart w:id="1" w:name="bookmark1"/>
      <w:r>
        <w:rPr>
          <w:lang w:val="ru-RU" w:eastAsia="ru-RU" w:bidi="ru-RU"/>
          <w:w w:val="100"/>
          <w:color w:val="000000"/>
          <w:position w:val="0"/>
        </w:rPr>
        <w:t>047980</w:t>
      </w:r>
      <w:bookmarkEnd w:id="1"/>
    </w:p>
    <w:p>
      <w:pPr>
        <w:pStyle w:val="Style14"/>
        <w:tabs>
          <w:tab w:leader="none" w:pos="562" w:val="left"/>
        </w:tabs>
        <w:widowControl w:val="0"/>
        <w:keepNext w:val="0"/>
        <w:keepLines w:val="0"/>
        <w:shd w:val="clear" w:color="auto" w:fill="auto"/>
        <w:bidi w:val="0"/>
        <w:jc w:val="both"/>
        <w:spacing w:before="0" w:after="0" w:line="326" w:lineRule="exact"/>
        <w:ind w:left="20" w:right="20" w:firstLine="700"/>
      </w:pPr>
      <w:r>
        <w:rPr>
          <w:lang w:val="ru-RU" w:eastAsia="ru-RU" w:bidi="ru-RU"/>
          <w:sz w:val="24"/>
          <w:szCs w:val="24"/>
          <w:w w:val="100"/>
          <w:color w:val="000000"/>
          <w:position w:val="0"/>
        </w:rPr>
        <w:t>рассмотрев жалобу ООО «Стройальянс» на положения документации об электронном аукционе на поставку и установку детского игрового оборудования и малых форм, устройство детской площадки с песчаным покрытием, устройство дорожки из бетонных плиток, установка ограждения на территории микрорайона №</w:t>
        <w:tab/>
        <w:t>12 города Липецка в части комплексного благоустройства дворовых</w:t>
      </w:r>
    </w:p>
    <w:p>
      <w:pPr>
        <w:pStyle w:val="Style14"/>
        <w:widowControl w:val="0"/>
        <w:keepNext w:val="0"/>
        <w:keepLines w:val="0"/>
        <w:shd w:val="clear" w:color="auto" w:fill="auto"/>
        <w:bidi w:val="0"/>
        <w:jc w:val="both"/>
        <w:spacing w:before="0" w:after="369" w:line="326" w:lineRule="exact"/>
        <w:ind w:left="20" w:right="20" w:firstLine="0"/>
      </w:pPr>
      <w:r>
        <w:rPr>
          <w:lang w:val="ru-RU" w:eastAsia="ru-RU" w:bidi="ru-RU"/>
          <w:sz w:val="24"/>
          <w:szCs w:val="24"/>
          <w:w w:val="100"/>
          <w:color w:val="000000"/>
          <w:position w:val="0"/>
        </w:rPr>
        <w:t>территорий МКД города Липецка в 2017 году (реестровый номер 0146300030217000651) (далее- электронный аукцион),</w:t>
      </w:r>
    </w:p>
    <w:p>
      <w:pPr>
        <w:pStyle w:val="Style14"/>
        <w:widowControl w:val="0"/>
        <w:keepNext w:val="0"/>
        <w:keepLines w:val="0"/>
        <w:shd w:val="clear" w:color="auto" w:fill="auto"/>
        <w:bidi w:val="0"/>
        <w:jc w:val="center"/>
        <w:spacing w:before="0" w:after="311" w:line="240" w:lineRule="exact"/>
        <w:ind w:left="0" w:right="0" w:firstLine="0"/>
      </w:pPr>
      <w:r>
        <w:rPr>
          <w:rStyle w:val="CharStyle18"/>
        </w:rPr>
        <w:t>УСТАНОВИЛА:</w:t>
      </w:r>
    </w:p>
    <w:p>
      <w:pPr>
        <w:pStyle w:val="Style1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адрес Липецкого УФАС России 07.11.2017 поступила жалоба ООО «Стройальянс» на положения документации об электронном аукционе (заказчик - муниципальное учреждение "Управление капитального ремонта" г. Липецка; уполномоченный орган - управление муниципального заказа администрации города Липецка).</w:t>
      </w:r>
    </w:p>
    <w:p>
      <w:pPr>
        <w:pStyle w:val="Style1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pPr>
        <w:pStyle w:val="Style1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 xml:space="preserve">Жалоба и сведения о времени и месте ее рассмотрения размещены Липецким УФАС России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в разделе «жалобы».</w:t>
      </w:r>
    </w:p>
    <w:p>
      <w:pPr>
        <w:pStyle w:val="Style1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ООО «Стройальянс», извещенное о времени и месте рассмотрения жалобы надлежащим образом, не направило своих представителей для участия в рассмотрении жалобы.</w:t>
      </w:r>
    </w:p>
    <w:p>
      <w:pPr>
        <w:pStyle w:val="Style14"/>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color w:val="000000"/>
          <w:position w:val="0"/>
        </w:rPr>
        <w:t>На заседании комиссии велась аудиозапись.</w:t>
      </w:r>
    </w:p>
    <w:p>
      <w:pPr>
        <w:pStyle w:val="Style14"/>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color w:val="000000"/>
          <w:position w:val="0"/>
        </w:rPr>
        <w:t>В жалобе ООО «Стройальянс» указано, что заказчиком при описании объекта закупки допущены нарушения требований ст. 33 Закона о контрактной системе, а именно, в технической части документации об электронном аукционе, а также в проекте (приложение к документации об электронном аукционе) не указаны характеристики закупаемого товара. При этом, проект содержит указание на товарные знаки без сопровождения словами "или эквивалент". Кроме этого, в аукционной документации имеется противоречие относительно состава первой части заявки на участие в электронном аукционе. Так п. 2.18 документации об электронном аукционе установлено, что первая часть заявки должна содержать согласие на выполнение работ на условиях, предусмотренных документацией об электронном аукционе. Однако, в рекомендуемой форме аукционной заявки, предлагается заполнить таблицу «Сведения о наименовании и описание объекта закупки» (приложение №2), а инструкция по заполнению заявки содержит рекомендации по заполнению данной таблицы. По мнению заявителя, данное противоречие в аукционной документации вводит участников закупки в заблуждение.</w:t>
      </w:r>
    </w:p>
    <w:p>
      <w:pPr>
        <w:pStyle w:val="Style14"/>
        <w:widowControl w:val="0"/>
        <w:keepNext w:val="0"/>
        <w:keepLines w:val="0"/>
        <w:shd w:val="clear" w:color="auto" w:fill="auto"/>
        <w:bidi w:val="0"/>
        <w:jc w:val="both"/>
        <w:spacing w:before="0" w:after="0" w:line="317" w:lineRule="exact"/>
        <w:ind w:left="40" w:right="20" w:firstLine="720"/>
      </w:pPr>
      <w:r>
        <w:rPr>
          <w:lang w:val="ru-RU" w:eastAsia="ru-RU" w:bidi="ru-RU"/>
          <w:sz w:val="24"/>
          <w:szCs w:val="24"/>
          <w:w w:val="100"/>
          <w:color w:val="000000"/>
          <w:position w:val="0"/>
        </w:rPr>
        <w:t>Представители заказчика и уполномоченного органа не согласны и жалобой, считают ее необоснованной, представили письменные возражения.</w:t>
      </w:r>
    </w:p>
    <w:p>
      <w:pPr>
        <w:pStyle w:val="Style14"/>
        <w:widowControl w:val="0"/>
        <w:keepNext w:val="0"/>
        <w:keepLines w:val="0"/>
        <w:shd w:val="clear" w:color="auto" w:fill="auto"/>
        <w:bidi w:val="0"/>
        <w:jc w:val="both"/>
        <w:spacing w:before="0" w:after="0" w:line="317" w:lineRule="exact"/>
        <w:ind w:left="40" w:right="20" w:firstLine="720"/>
      </w:pPr>
      <w:r>
        <w:rPr>
          <w:lang w:val="ru-RU" w:eastAsia="ru-RU" w:bidi="ru-RU"/>
          <w:sz w:val="24"/>
          <w:szCs w:val="24"/>
          <w:w w:val="100"/>
          <w:color w:val="000000"/>
          <w:position w:val="0"/>
        </w:rPr>
        <w:t>Рассмотрев жалобу и приложенные к ней материалы, а также другие документы (копии), представленные сторонами, проведя внеплановую проверку и выслушав мнение представителей заказчика и уполномоченного органа, Комиссия Липецкого УФАС России установила следующее:</w:t>
      </w:r>
    </w:p>
    <w:p>
      <w:pPr>
        <w:pStyle w:val="Style14"/>
        <w:widowControl w:val="0"/>
        <w:keepNext w:val="0"/>
        <w:keepLines w:val="0"/>
        <w:shd w:val="clear" w:color="auto" w:fill="auto"/>
        <w:bidi w:val="0"/>
        <w:jc w:val="both"/>
        <w:spacing w:before="0" w:after="0" w:line="322" w:lineRule="exact"/>
        <w:ind w:left="40" w:right="20" w:firstLine="720"/>
      </w:pPr>
      <w:r>
        <w:rPr>
          <w:lang w:val="ru-RU" w:eastAsia="ru-RU" w:bidi="ru-RU"/>
          <w:sz w:val="24"/>
          <w:szCs w:val="24"/>
          <w:w w:val="100"/>
          <w:color w:val="000000"/>
          <w:position w:val="0"/>
        </w:rPr>
        <w:t xml:space="preserve">Документация об электронном аукционе и извещение о проведении электронного аукциона размещены уполномоченным органом на официальном сайте единой информационной системы в сфере закупок </w:t>
      </w:r>
      <w:r>
        <w:fldChar w:fldCharType="begin"/>
      </w:r>
      <w:r>
        <w:rPr>
          <w:color w:val="000000"/>
        </w:rPr>
        <w:instrText> HYPERLINK "http://zakupki.gov.ru" </w:instrText>
      </w:r>
      <w:r>
        <w:fldChar w:fldCharType="separate"/>
      </w:r>
      <w:r>
        <w:rPr>
          <w:rStyle w:val="Hyperlink"/>
          <w:lang w:val="en-US" w:eastAsia="en-US" w:bidi="en-US"/>
          <w:sz w:val="24"/>
          <w:szCs w:val="24"/>
          <w:w w:val="100"/>
          <w:position w:val="0"/>
        </w:rPr>
        <w:t>http://zakupki.gov.ru</w:t>
      </w:r>
      <w:r>
        <w:fldChar w:fldCharType="end"/>
      </w:r>
      <w:r>
        <w:rPr>
          <w:lang w:val="en-US" w:eastAsia="en-US" w:bidi="en-US"/>
          <w:sz w:val="24"/>
          <w:szCs w:val="24"/>
          <w:w w:val="100"/>
          <w:color w:val="000000"/>
          <w:position w:val="0"/>
        </w:rPr>
        <w:t>.</w:t>
      </w:r>
    </w:p>
    <w:p>
      <w:pPr>
        <w:pStyle w:val="Style14"/>
        <w:widowControl w:val="0"/>
        <w:keepNext w:val="0"/>
        <w:keepLines w:val="0"/>
        <w:shd w:val="clear" w:color="auto" w:fill="auto"/>
        <w:bidi w:val="0"/>
        <w:jc w:val="both"/>
        <w:spacing w:before="0" w:after="0" w:line="322" w:lineRule="exact"/>
        <w:ind w:left="40" w:right="20" w:firstLine="720"/>
      </w:pPr>
      <w:r>
        <w:rPr>
          <w:lang w:val="ru-RU" w:eastAsia="ru-RU" w:bidi="ru-RU"/>
          <w:sz w:val="24"/>
          <w:szCs w:val="24"/>
          <w:w w:val="100"/>
          <w:color w:val="000000"/>
          <w:position w:val="0"/>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w:t>
      </w:r>
    </w:p>
    <w:p>
      <w:pPr>
        <w:pStyle w:val="Style14"/>
        <w:widowControl w:val="0"/>
        <w:keepNext w:val="0"/>
        <w:keepLines w:val="0"/>
        <w:shd w:val="clear" w:color="auto" w:fill="auto"/>
        <w:bidi w:val="0"/>
        <w:jc w:val="both"/>
        <w:spacing w:before="0" w:after="0" w:line="317" w:lineRule="exact"/>
        <w:ind w:left="40" w:right="20" w:firstLine="720"/>
      </w:pPr>
      <w:r>
        <w:rPr>
          <w:lang w:val="ru-RU" w:eastAsia="ru-RU" w:bidi="ru-RU"/>
          <w:sz w:val="24"/>
          <w:szCs w:val="24"/>
          <w:w w:val="100"/>
          <w:color w:val="000000"/>
          <w:position w:val="0"/>
        </w:rPr>
        <w:t>Согласно ч.1 ст.ЗЗ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14"/>
        <w:numPr>
          <w:ilvl w:val="0"/>
          <w:numId w:val="3"/>
        </w:numPr>
        <w:widowControl w:val="0"/>
        <w:keepNext w:val="0"/>
        <w:keepLines w:val="0"/>
        <w:shd w:val="clear" w:color="auto" w:fill="auto"/>
        <w:bidi w:val="0"/>
        <w:jc w:val="both"/>
        <w:spacing w:before="0" w:after="0" w:line="317" w:lineRule="exact"/>
        <w:ind w:left="40" w:right="20" w:firstLine="720"/>
      </w:pPr>
      <w:r>
        <w:rPr>
          <w:lang w:val="ru-RU" w:eastAsia="ru-RU" w:bidi="ru-RU"/>
          <w:sz w:val="24"/>
          <w:szCs w:val="24"/>
          <w:w w:val="10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4"/>
        <w:numPr>
          <w:ilvl w:val="0"/>
          <w:numId w:val="3"/>
        </w:numPr>
        <w:widowControl w:val="0"/>
        <w:keepNext w:val="0"/>
        <w:keepLines w:val="0"/>
        <w:shd w:val="clear" w:color="auto" w:fill="auto"/>
        <w:bidi w:val="0"/>
        <w:jc w:val="both"/>
        <w:spacing w:before="0" w:after="0" w:line="317" w:lineRule="exact"/>
        <w:ind w:left="40" w:right="20" w:firstLine="720"/>
      </w:pPr>
      <w:r>
        <w:rPr>
          <w:lang w:val="ru-RU" w:eastAsia="ru-RU" w:bidi="ru-RU"/>
          <w:sz w:val="24"/>
          <w:szCs w:val="24"/>
          <w:w w:val="10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4"/>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4"/>
        <w:tabs>
          <w:tab w:leader="none" w:pos="6126" w:val="left"/>
        </w:tabs>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Из анализа извещения о проведении электронного аукциона и документации об электронном аукционе установлено, что объектом закупки является Поставка и установка детского игрового и спортивного оборудования, малых форм, устройство детской площадки с песчаным покрытием, спортивной площадки с резиновым покрытием, устройство дорожек из бетонных плиток, установка ограждения на территории микрорайона №</w:t>
        <w:tab/>
        <w:t>12 города Липецка в части</w:t>
      </w:r>
    </w:p>
    <w:p>
      <w:pPr>
        <w:pStyle w:val="Style14"/>
        <w:widowControl w:val="0"/>
        <w:keepNext w:val="0"/>
        <w:keepLines w:val="0"/>
        <w:shd w:val="clear" w:color="auto" w:fill="auto"/>
        <w:bidi w:val="0"/>
        <w:jc w:val="both"/>
        <w:spacing w:before="0" w:after="0" w:line="322" w:lineRule="exact"/>
        <w:ind w:left="20" w:right="20" w:firstLine="0"/>
      </w:pPr>
      <w:r>
        <w:rPr>
          <w:lang w:val="ru-RU" w:eastAsia="ru-RU" w:bidi="ru-RU"/>
          <w:sz w:val="24"/>
          <w:szCs w:val="24"/>
          <w:w w:val="100"/>
          <w:color w:val="000000"/>
          <w:position w:val="0"/>
        </w:rPr>
        <w:t>комплексного благоустройства дворовых территорий МКД города Липецка в 2017 году.</w:t>
      </w:r>
    </w:p>
    <w:p>
      <w:pPr>
        <w:pStyle w:val="Style14"/>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 ходе анализа документации об электронном аукционе установлено, что работы выполняются согласно проекту «Благоустройство дворовых территорий микрорайона №12 города Липецка», выполненному акционерным обществом проектный институт «Липецкгражданпроект» (шифр 13072-1У-ГП) и локальным сметным расчётам, которые содержат показатели, связанные с определением соответствия закупаемы работы потребностям заказчика, в том числе содержат указание на материалы, используемые при выполнении работ.</w:t>
      </w:r>
    </w:p>
    <w:p>
      <w:pPr>
        <w:pStyle w:val="Style14"/>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Установлено, что проект и локально-сметный расчет включены в состав документации об электронном аукционе и размещены на сайте единой информационной системы в сфере закупок, что свидетельствует о соблюдении заказчиком требований ч. 2 ст. 33 Закона о контрактной системе.</w:t>
      </w:r>
    </w:p>
    <w:p>
      <w:pPr>
        <w:pStyle w:val="Style14"/>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При этом, следует отметить, что ст. 33 Закона о контрактной системе не устанавливает обязанность для заказчика, описав объект закупки путем установления требований к закупаемым работам, в обязательном порядке устанавливать требования к функциональным, техническим и качественным характеристикам, эксплуатационным характеристикам материалов, используемых при выполнении работ.</w:t>
      </w:r>
    </w:p>
    <w:p>
      <w:pPr>
        <w:pStyle w:val="Style14"/>
        <w:widowControl w:val="0"/>
        <w:keepNext w:val="0"/>
        <w:keepLines w:val="0"/>
        <w:shd w:val="clear" w:color="auto" w:fill="auto"/>
        <w:bidi w:val="0"/>
        <w:jc w:val="both"/>
        <w:spacing w:before="0" w:after="293" w:line="317" w:lineRule="exact"/>
        <w:ind w:left="40" w:right="20" w:firstLine="700"/>
      </w:pPr>
      <w:r>
        <w:rPr>
          <w:lang w:val="ru-RU" w:eastAsia="ru-RU" w:bidi="ru-RU"/>
          <w:sz w:val="24"/>
          <w:szCs w:val="24"/>
          <w:w w:val="100"/>
          <w:color w:val="000000"/>
          <w:position w:val="0"/>
        </w:rPr>
        <w:t>На основании вышеизложенного довод жалобы о не установлении заказчиком требований к функциональным, техническим и качественным характеристикам товаров и материалов, используемых при выполнении работ, Комиссией признается необоснованным.</w:t>
      </w:r>
    </w:p>
    <w:p>
      <w:pPr>
        <w:pStyle w:val="Style14"/>
        <w:widowControl w:val="0"/>
        <w:keepNext w:val="0"/>
        <w:keepLines w:val="0"/>
        <w:shd w:val="clear" w:color="auto" w:fill="auto"/>
        <w:bidi w:val="0"/>
        <w:jc w:val="both"/>
        <w:spacing w:before="0" w:after="0" w:line="326" w:lineRule="exact"/>
        <w:ind w:left="40" w:right="20" w:firstLine="700"/>
      </w:pPr>
      <w:r>
        <w:rPr>
          <w:lang w:val="ru-RU" w:eastAsia="ru-RU" w:bidi="ru-RU"/>
          <w:sz w:val="24"/>
          <w:szCs w:val="24"/>
          <w:w w:val="100"/>
          <w:color w:val="000000"/>
          <w:position w:val="0"/>
        </w:rPr>
        <w:t>В ходе рассмотрения жалобы Комиссией было установлено, что проект «Благоустройство дворовых территорий микрорайона №12 города Липецка» (шифр 13072-1У-ГП), в том числе, содержит указание в отношении товарных знаков используемых при выполнении работ материалов.</w:t>
      </w:r>
    </w:p>
    <w:p>
      <w:pPr>
        <w:pStyle w:val="Style14"/>
        <w:tabs>
          <w:tab w:leader="none" w:pos="5546" w:val="left"/>
        </w:tabs>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color w:val="000000"/>
          <w:position w:val="0"/>
        </w:rPr>
        <w:t>При этом, из анализа документации об электронном аукционе установлено, что в п. 2.6 раздела 5 «Техническая часть» документации об электронном аукционе указано: «В случае если в настоящем Техническом задании и проекте «Благоустройство дворовых территорий микрорайона №12 города Липецка» выполненному Акционерным обществом Проектный институт «Липецкгражданпроект», шифр проекта:</w:t>
        <w:tab/>
        <w:t>13072-1У-ГП имеются ссылки на</w:t>
      </w:r>
    </w:p>
    <w:p>
      <w:pPr>
        <w:pStyle w:val="Style14"/>
        <w:widowControl w:val="0"/>
        <w:keepNext w:val="0"/>
        <w:keepLines w:val="0"/>
        <w:shd w:val="clear" w:color="auto" w:fill="auto"/>
        <w:bidi w:val="0"/>
        <w:jc w:val="both"/>
        <w:spacing w:before="0" w:after="0" w:line="317" w:lineRule="exact"/>
        <w:ind w:left="40" w:right="20" w:firstLine="0"/>
      </w:pPr>
      <w:r>
        <w:rPr>
          <w:lang w:val="ru-RU" w:eastAsia="ru-RU" w:bidi="ru-RU"/>
          <w:sz w:val="24"/>
          <w:szCs w:val="24"/>
          <w:w w:val="100"/>
          <w:color w:val="000000"/>
          <w:position w:val="0"/>
        </w:rPr>
        <w:t>конкретные товарные знаки, допускается применение эквивалента, который соответствует или превосходит по качеству и техническим характеристикам».</w:t>
      </w:r>
    </w:p>
    <w:p>
      <w:pPr>
        <w:pStyle w:val="Style14"/>
        <w:widowControl w:val="0"/>
        <w:keepNext w:val="0"/>
        <w:keepLines w:val="0"/>
        <w:shd w:val="clear" w:color="auto" w:fill="auto"/>
        <w:bidi w:val="0"/>
        <w:jc w:val="both"/>
        <w:spacing w:before="0" w:after="300" w:line="317" w:lineRule="exact"/>
        <w:ind w:left="40" w:right="20" w:firstLine="700"/>
      </w:pPr>
      <w:r>
        <w:rPr>
          <w:lang w:val="ru-RU" w:eastAsia="ru-RU" w:bidi="ru-RU"/>
          <w:sz w:val="24"/>
          <w:szCs w:val="24"/>
          <w:w w:val="100"/>
          <w:color w:val="000000"/>
          <w:position w:val="0"/>
        </w:rPr>
        <w:t>Таким образом, рассматриваемый довод о неправомерном указании в проекте товарных знаков без сопровождения словами «эквивалент» не нашел своего подтверждения.</w:t>
      </w:r>
    </w:p>
    <w:p>
      <w:pPr>
        <w:pStyle w:val="Style14"/>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4"/>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color w:val="000000"/>
          <w:position w:val="0"/>
        </w:rPr>
        <w:t>Согласно п. 2.18 «Информация и документы, входящие в состав заявки на участие в аукционе» информационной карты документации об электронном аукционе, первая часть заявки на участие в аукционе должна содержать согласие участника аукциона на выполнение работ на условиях, предусмотренных документацией об аукционе.</w:t>
      </w:r>
    </w:p>
    <w:p>
      <w:pPr>
        <w:pStyle w:val="Style14"/>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color w:val="000000"/>
          <w:position w:val="0"/>
        </w:rPr>
        <w:t>Также установлено, что документация об электронном аукционе (приложение №1) содержит рекомендуемую форму аукционной заявки.</w:t>
      </w:r>
    </w:p>
    <w:p>
      <w:pPr>
        <w:pStyle w:val="Style14"/>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color w:val="000000"/>
          <w:position w:val="0"/>
        </w:rPr>
        <w:t>При этом, данная форма носит рекомендательный характер и не является требованием к составу заявки на участие в электронном аукционе.</w:t>
      </w:r>
    </w:p>
    <w:p>
      <w:pPr>
        <w:pStyle w:val="Style14"/>
        <w:widowControl w:val="0"/>
        <w:keepNext w:val="0"/>
        <w:keepLines w:val="0"/>
        <w:shd w:val="clear" w:color="auto" w:fill="auto"/>
        <w:bidi w:val="0"/>
        <w:jc w:val="both"/>
        <w:spacing w:before="0" w:after="0" w:line="317" w:lineRule="exact"/>
        <w:ind w:left="40" w:right="20" w:firstLine="700"/>
      </w:pPr>
      <w:r>
        <w:rPr>
          <w:lang w:val="ru-RU" w:eastAsia="ru-RU" w:bidi="ru-RU"/>
          <w:sz w:val="24"/>
          <w:szCs w:val="24"/>
          <w:w w:val="100"/>
          <w:color w:val="000000"/>
          <w:position w:val="0"/>
        </w:rPr>
        <w:t>Из анализа представленных документов следует, что документация об электронном аукционе содержит инструкцию по заполнению заявки на участие в электронном аукционе, в которой, в том числе, указано: «При проведении аукциона на выполнение работы или оказание услуги первая часть заявки на участие в электронном аукционе должна содержать согласие участника такого аукциона на выполнение работ или оказание услуг на условиях, предусмотренных документацией об электронном аукционе».</w:t>
      </w:r>
    </w:p>
    <w:p>
      <w:pPr>
        <w:pStyle w:val="Style14"/>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color w:val="000000"/>
          <w:position w:val="0"/>
        </w:rPr>
        <w:t>Таким образом, установленное заказчиком требование к составу первой части заявки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 полностью согласуется с установленными заказчиком требованиями при описании объекта закупки.</w:t>
      </w:r>
    </w:p>
    <w:p>
      <w:pPr>
        <w:pStyle w:val="Style14"/>
        <w:widowControl w:val="0"/>
        <w:keepNext w:val="0"/>
        <w:keepLines w:val="0"/>
        <w:shd w:val="clear" w:color="auto" w:fill="auto"/>
        <w:bidi w:val="0"/>
        <w:jc w:val="both"/>
        <w:spacing w:before="0" w:after="0" w:line="322" w:lineRule="exact"/>
        <w:ind w:left="20" w:right="20" w:firstLine="720"/>
      </w:pPr>
      <w:r>
        <w:rPr>
          <w:lang w:val="ru-RU" w:eastAsia="ru-RU" w:bidi="ru-RU"/>
          <w:sz w:val="24"/>
          <w:szCs w:val="24"/>
          <w:w w:val="100"/>
          <w:color w:val="000000"/>
          <w:position w:val="0"/>
        </w:rPr>
        <w:t>На основании изложенного, довод жалобы о наличии в документации об электронном аукционе противоречий относительно требования к составу первой части заявки, не нашел подтверждения.</w:t>
      </w:r>
    </w:p>
    <w:p>
      <w:pPr>
        <w:pStyle w:val="Style14"/>
        <w:widowControl w:val="0"/>
        <w:keepNext w:val="0"/>
        <w:keepLines w:val="0"/>
        <w:shd w:val="clear" w:color="auto" w:fill="auto"/>
        <w:bidi w:val="0"/>
        <w:jc w:val="both"/>
        <w:spacing w:before="0" w:after="365" w:line="322" w:lineRule="exact"/>
        <w:ind w:left="20" w:right="20" w:firstLine="720"/>
      </w:pPr>
      <w:r>
        <w:rPr>
          <w:lang w:val="ru-RU" w:eastAsia="ru-RU" w:bidi="ru-RU"/>
          <w:sz w:val="24"/>
          <w:szCs w:val="24"/>
          <w:w w:val="100"/>
          <w:color w:val="000000"/>
          <w:position w:val="0"/>
        </w:rPr>
        <w:t>Руководствуясь ст. 99, ч. 8 ст.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Комиссия</w:t>
      </w:r>
    </w:p>
    <w:p>
      <w:pPr>
        <w:pStyle w:val="Style14"/>
        <w:widowControl w:val="0"/>
        <w:keepNext w:val="0"/>
        <w:keepLines w:val="0"/>
        <w:shd w:val="clear" w:color="auto" w:fill="auto"/>
        <w:bidi w:val="0"/>
        <w:jc w:val="center"/>
        <w:spacing w:before="0" w:after="256" w:line="240" w:lineRule="exact"/>
        <w:ind w:left="0" w:right="0" w:firstLine="0"/>
      </w:pPr>
      <w:r>
        <w:rPr>
          <w:rStyle w:val="CharStyle18"/>
        </w:rPr>
        <w:t>РЕШИЛА:</w:t>
      </w:r>
    </w:p>
    <w:p>
      <w:pPr>
        <w:pStyle w:val="Style14"/>
        <w:tabs>
          <w:tab w:leader="none" w:pos="562" w:val="left"/>
        </w:tabs>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1. Признать жалобу ООО «Стройальянс» на положения документации об электронном аукционе на поставку и установку детского игрового оборудования и малых форм, устройство детской площадки с песчаным покрытием, устройство дорожки из бетонных плиток, установка ограждения на территории микрорайона №</w:t>
        <w:tab/>
        <w:t>12 города Липецка в части комплексного благоустройства дворовых</w:t>
      </w:r>
    </w:p>
    <w:p>
      <w:pPr>
        <w:pStyle w:val="Style14"/>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color w:val="000000"/>
          <w:position w:val="0"/>
        </w:rPr>
        <w:t>территорий МКД города Липецка в 2017 году (реестровый номер 0146300030217000651)необоснованной.</w:t>
      </w:r>
    </w:p>
    <w:p>
      <w:pPr>
        <w:pStyle w:val="Style14"/>
        <w:widowControl w:val="0"/>
        <w:keepNext w:val="0"/>
        <w:keepLines w:val="0"/>
        <w:shd w:val="clear" w:color="auto" w:fill="auto"/>
        <w:bidi w:val="0"/>
        <w:jc w:val="both"/>
        <w:spacing w:before="0" w:after="0" w:line="317" w:lineRule="exact"/>
        <w:ind w:left="20" w:right="20" w:firstLine="720"/>
        <w:sectPr>
          <w:type w:val="continuous"/>
          <w:pgSz w:w="11906" w:h="16838"/>
          <w:pgMar w:top="770" w:left="745" w:right="678" w:bottom="521" w:header="0" w:footer="3" w:gutter="0"/>
          <w:rtlGutter w:val="0"/>
          <w:cols w:space="720"/>
          <w:noEndnote/>
          <w:docGrid w:linePitch="360"/>
        </w:sectPr>
      </w:pPr>
      <w:r>
        <w:rPr>
          <w:lang w:val="ru-RU" w:eastAsia="ru-RU" w:bidi="ru-RU"/>
          <w:sz w:val="24"/>
          <w:szCs w:val="24"/>
          <w:w w:val="100"/>
          <w:color w:val="000000"/>
          <w:position w:val="0"/>
        </w:rPr>
        <w:t>Решение может быть обжаловано в арбитражный суд в течение трех месяцев со дня его вынесения.</w:t>
      </w:r>
    </w:p>
    <w:p>
      <w:pPr>
        <w:widowControl w:val="0"/>
        <w:spacing w:line="240" w:lineRule="exact"/>
        <w:rPr>
          <w:sz w:val="19"/>
          <w:szCs w:val="19"/>
        </w:rPr>
      </w:pPr>
    </w:p>
    <w:p>
      <w:pPr>
        <w:widowControl w:val="0"/>
        <w:spacing w:before="110" w:after="1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0" w:after="377" w:line="240" w:lineRule="exact"/>
        <w:ind w:left="0" w:right="0" w:firstLine="0"/>
      </w:pPr>
      <w:r>
        <w:rPr>
          <w:lang w:val="ru-RU" w:eastAsia="ru-RU" w:bidi="ru-RU"/>
          <w:sz w:val="24"/>
          <w:szCs w:val="24"/>
          <w:w w:val="100"/>
          <w:color w:val="000000"/>
          <w:position w:val="0"/>
        </w:rPr>
        <w:t>Председатель Комиссии:</w:t>
      </w:r>
    </w:p>
    <w:p>
      <w:pPr>
        <w:pStyle w:val="Style14"/>
        <w:widowControl w:val="0"/>
        <w:keepNext w:val="0"/>
        <w:keepLines w:val="0"/>
        <w:shd w:val="clear" w:color="auto" w:fill="auto"/>
        <w:bidi w:val="0"/>
        <w:jc w:val="left"/>
        <w:spacing w:before="0" w:after="422" w:line="240" w:lineRule="exact"/>
        <w:ind w:left="0" w:right="0" w:firstLine="0"/>
      </w:pPr>
      <w:r>
        <w:rPr>
          <w:lang w:val="ru-RU" w:eastAsia="ru-RU" w:bidi="ru-RU"/>
          <w:sz w:val="24"/>
          <w:szCs w:val="24"/>
          <w:w w:val="100"/>
          <w:color w:val="000000"/>
          <w:position w:val="0"/>
        </w:rPr>
        <w:t>Заместитель председателя Комиссии:</w:t>
      </w:r>
    </w:p>
    <w:p>
      <w:pPr>
        <w:pStyle w:val="Style14"/>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color w:val="000000"/>
          <w:position w:val="0"/>
        </w:rPr>
        <w:t>Члены Комиссии:</w:t>
      </w:r>
    </w:p>
    <w:sectPr>
      <w:type w:val="continuous"/>
      <w:pgSz w:w="11906" w:h="16838"/>
      <w:pgMar w:top="2410" w:left="995" w:right="6073" w:bottom="189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9"/>
      <w:szCs w:val="19"/>
      <w:rFonts w:ascii="Times New Roman" w:eastAsia="Times New Roman" w:hAnsi="Times New Roman" w:cs="Times New Roman"/>
      <w:spacing w:val="10"/>
    </w:rPr>
  </w:style>
  <w:style w:type="character" w:customStyle="1" w:styleId="CharStyle6">
    <w:name w:val="Основной текст (3)_"/>
    <w:basedOn w:val="DefaultParagraphFont"/>
    <w:link w:val="Style5"/>
    <w:rPr>
      <w:b w:val="0"/>
      <w:bCs w:val="0"/>
      <w:i w:val="0"/>
      <w:iCs w:val="0"/>
      <w:u w:val="none"/>
      <w:strike w:val="0"/>
      <w:smallCaps w:val="0"/>
      <w:sz w:val="21"/>
      <w:szCs w:val="21"/>
      <w:rFonts w:ascii="Times New Roman" w:eastAsia="Times New Roman" w:hAnsi="Times New Roman" w:cs="Times New Roman"/>
      <w:spacing w:val="10"/>
    </w:rPr>
  </w:style>
  <w:style w:type="character" w:customStyle="1" w:styleId="CharStyle8">
    <w:name w:val="Основной текст (4)_"/>
    <w:basedOn w:val="DefaultParagraphFont"/>
    <w:link w:val="Style7"/>
    <w:rPr>
      <w:b/>
      <w:bCs/>
      <w:i w:val="0"/>
      <w:iCs w:val="0"/>
      <w:u w:val="none"/>
      <w:strike w:val="0"/>
      <w:smallCaps w:val="0"/>
      <w:sz w:val="15"/>
      <w:szCs w:val="15"/>
      <w:rFonts w:ascii="Times New Roman" w:eastAsia="Times New Roman" w:hAnsi="Times New Roman" w:cs="Times New Roman"/>
    </w:rPr>
  </w:style>
  <w:style w:type="character" w:customStyle="1" w:styleId="CharStyle9">
    <w:name w:val="Основной текст (4) + Не полужирный"/>
    <w:basedOn w:val="CharStyle8"/>
    <w:rPr>
      <w:lang w:val="en-US" w:eastAsia="en-US" w:bidi="en-US"/>
      <w:b/>
      <w:bCs/>
      <w:w w:val="100"/>
      <w:spacing w:val="0"/>
      <w:color w:val="000000"/>
      <w:position w:val="0"/>
    </w:rPr>
  </w:style>
  <w:style w:type="character" w:customStyle="1" w:styleId="CharStyle11">
    <w:name w:val="Заголовок №1_"/>
    <w:basedOn w:val="DefaultParagraphFont"/>
    <w:link w:val="Style10"/>
    <w:rPr>
      <w:lang w:val="en-US" w:eastAsia="en-US" w:bidi="en-US"/>
      <w:b w:val="0"/>
      <w:bCs w:val="0"/>
      <w:i/>
      <w:iCs/>
      <w:u w:val="none"/>
      <w:strike w:val="0"/>
      <w:smallCaps w:val="0"/>
      <w:sz w:val="42"/>
      <w:szCs w:val="42"/>
      <w:rFonts w:ascii="Times New Roman" w:eastAsia="Times New Roman" w:hAnsi="Times New Roman" w:cs="Times New Roman"/>
    </w:rPr>
  </w:style>
  <w:style w:type="character" w:customStyle="1" w:styleId="CharStyle12">
    <w:name w:val="Заголовок №1"/>
    <w:basedOn w:val="CharStyle11"/>
    <w:rPr>
      <w:u w:val="single"/>
      <w:w w:val="100"/>
      <w:spacing w:val="0"/>
      <w:color w:val="000000"/>
      <w:position w:val="0"/>
    </w:rPr>
  </w:style>
  <w:style w:type="character" w:customStyle="1" w:styleId="CharStyle13">
    <w:name w:val="Заголовок №1 + Не курсив"/>
    <w:basedOn w:val="CharStyle11"/>
    <w:rPr>
      <w:lang w:val="ru-RU" w:eastAsia="ru-RU" w:bidi="ru-RU"/>
      <w:i/>
      <w:iCs/>
      <w:w w:val="100"/>
      <w:spacing w:val="0"/>
      <w:color w:val="000000"/>
      <w:position w:val="0"/>
    </w:rPr>
  </w:style>
  <w:style w:type="character" w:customStyle="1" w:styleId="CharStyle15">
    <w:name w:val="Основной текст_"/>
    <w:basedOn w:val="DefaultParagraphFont"/>
    <w:link w:val="Style14"/>
    <w:rPr>
      <w:b w:val="0"/>
      <w:bCs w:val="0"/>
      <w:i w:val="0"/>
      <w:iCs w:val="0"/>
      <w:u w:val="none"/>
      <w:strike w:val="0"/>
      <w:smallCaps w:val="0"/>
      <w:rFonts w:ascii="Times New Roman" w:eastAsia="Times New Roman" w:hAnsi="Times New Roman" w:cs="Times New Roman"/>
      <w:spacing w:val="10"/>
    </w:rPr>
  </w:style>
  <w:style w:type="character" w:customStyle="1" w:styleId="CharStyle17">
    <w:name w:val="Заголовок №2_"/>
    <w:basedOn w:val="DefaultParagraphFont"/>
    <w:link w:val="Style16"/>
    <w:rPr>
      <w:b w:val="0"/>
      <w:bCs w:val="0"/>
      <w:i w:val="0"/>
      <w:iCs w:val="0"/>
      <w:u w:val="none"/>
      <w:strike w:val="0"/>
      <w:smallCaps w:val="0"/>
      <w:sz w:val="36"/>
      <w:szCs w:val="36"/>
      <w:rFonts w:ascii="Times New Roman" w:eastAsia="Times New Roman" w:hAnsi="Times New Roman" w:cs="Times New Roman"/>
      <w:spacing w:val="30"/>
    </w:rPr>
  </w:style>
  <w:style w:type="character" w:customStyle="1" w:styleId="CharStyle18">
    <w:name w:val="Основной текст + Интервал 3 pt"/>
    <w:basedOn w:val="CharStyle15"/>
    <w:rPr>
      <w:lang w:val="ru-RU" w:eastAsia="ru-RU" w:bidi="ru-RU"/>
      <w:sz w:val="24"/>
      <w:szCs w:val="24"/>
      <w:w w:val="100"/>
      <w:spacing w:val="70"/>
      <w:color w:val="000000"/>
      <w:position w:val="0"/>
    </w:rPr>
  </w:style>
  <w:style w:type="paragraph" w:customStyle="1" w:styleId="Style3">
    <w:name w:val="Основной текст (2)"/>
    <w:basedOn w:val="Normal"/>
    <w:link w:val="CharStyle4"/>
    <w:pPr>
      <w:widowControl w:val="0"/>
      <w:shd w:val="clear" w:color="auto" w:fill="FFFFFF"/>
      <w:jc w:val="center"/>
      <w:spacing w:after="60" w:line="221" w:lineRule="exact"/>
    </w:pPr>
    <w:rPr>
      <w:b w:val="0"/>
      <w:bCs w:val="0"/>
      <w:i w:val="0"/>
      <w:iCs w:val="0"/>
      <w:u w:val="none"/>
      <w:strike w:val="0"/>
      <w:smallCaps w:val="0"/>
      <w:sz w:val="19"/>
      <w:szCs w:val="19"/>
      <w:rFonts w:ascii="Times New Roman" w:eastAsia="Times New Roman" w:hAnsi="Times New Roman" w:cs="Times New Roman"/>
      <w:spacing w:val="10"/>
    </w:rPr>
  </w:style>
  <w:style w:type="paragraph" w:customStyle="1" w:styleId="Style5">
    <w:name w:val="Основной текст (3)"/>
    <w:basedOn w:val="Normal"/>
    <w:link w:val="CharStyle6"/>
    <w:pPr>
      <w:widowControl w:val="0"/>
      <w:shd w:val="clear" w:color="auto" w:fill="FFFFFF"/>
      <w:jc w:val="center"/>
      <w:spacing w:before="60" w:line="245" w:lineRule="exact"/>
    </w:pPr>
    <w:rPr>
      <w:b w:val="0"/>
      <w:bCs w:val="0"/>
      <w:i w:val="0"/>
      <w:iCs w:val="0"/>
      <w:u w:val="none"/>
      <w:strike w:val="0"/>
      <w:smallCaps w:val="0"/>
      <w:sz w:val="21"/>
      <w:szCs w:val="21"/>
      <w:rFonts w:ascii="Times New Roman" w:eastAsia="Times New Roman" w:hAnsi="Times New Roman" w:cs="Times New Roman"/>
      <w:spacing w:val="10"/>
    </w:rPr>
  </w:style>
  <w:style w:type="paragraph" w:customStyle="1" w:styleId="Style7">
    <w:name w:val="Основной текст (4)"/>
    <w:basedOn w:val="Normal"/>
    <w:link w:val="CharStyle8"/>
    <w:pPr>
      <w:widowControl w:val="0"/>
      <w:shd w:val="clear" w:color="auto" w:fill="FFFFFF"/>
      <w:jc w:val="center"/>
      <w:spacing w:line="206" w:lineRule="exact"/>
    </w:pPr>
    <w:rPr>
      <w:b/>
      <w:bCs/>
      <w:i w:val="0"/>
      <w:iCs w:val="0"/>
      <w:u w:val="none"/>
      <w:strike w:val="0"/>
      <w:smallCaps w:val="0"/>
      <w:sz w:val="15"/>
      <w:szCs w:val="15"/>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both"/>
      <w:outlineLvl w:val="0"/>
      <w:spacing w:line="0" w:lineRule="exact"/>
    </w:pPr>
    <w:rPr>
      <w:lang w:val="en-US" w:eastAsia="en-US" w:bidi="en-US"/>
      <w:b w:val="0"/>
      <w:bCs w:val="0"/>
      <w:i/>
      <w:iCs/>
      <w:u w:val="none"/>
      <w:strike w:val="0"/>
      <w:smallCaps w:val="0"/>
      <w:sz w:val="42"/>
      <w:szCs w:val="42"/>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spacing w:after="240" w:line="653"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16">
    <w:name w:val="Заголовок №2"/>
    <w:basedOn w:val="Normal"/>
    <w:link w:val="CharStyle17"/>
    <w:pPr>
      <w:widowControl w:val="0"/>
      <w:shd w:val="clear" w:color="auto" w:fill="FFFFFF"/>
      <w:jc w:val="right"/>
      <w:outlineLvl w:val="1"/>
      <w:spacing w:line="0" w:lineRule="exact"/>
    </w:pPr>
    <w:rPr>
      <w:b w:val="0"/>
      <w:bCs w:val="0"/>
      <w:i w:val="0"/>
      <w:iCs w:val="0"/>
      <w:u w:val="none"/>
      <w:strike w:val="0"/>
      <w:smallCaps w:val="0"/>
      <w:sz w:val="36"/>
      <w:szCs w:val="36"/>
      <w:rFonts w:ascii="Times New Roman" w:eastAsia="Times New Roman" w:hAnsi="Times New Roman" w:cs="Times New Roman"/>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