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264" w:left="2279" w:right="8706" w:bottom="288" w:header="0" w:footer="3" w:gutter="0"/>
          <w:rtlGutter w:val="0"/>
          <w:cols w:space="720"/>
          <w:noEndnote/>
          <w:docGrid w:linePitch="360"/>
        </w:sectPr>
      </w:pPr>
    </w:p>
    <w:p>
      <w:pPr>
        <w:widowControl w:val="0"/>
        <w:spacing w:line="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0"/>
        <w:ind w:left="0" w:right="0" w:firstLine="0"/>
      </w:pPr>
      <w:r>
        <w:rPr>
          <w:lang w:val="ru-RU" w:eastAsia="ru-RU" w:bidi="ru-RU"/>
          <w:w w:val="100"/>
          <w:color w:val="000000"/>
          <w:position w:val="0"/>
        </w:rPr>
        <w:t>ФЕДЕРАЛЬНАЯ А1П ИМОНОПОЛЬНАЯ СЛУ ЖБА</w:t>
      </w:r>
    </w:p>
    <w:p>
      <w:pPr>
        <w:pStyle w:val="Style5"/>
        <w:widowControl w:val="0"/>
        <w:keepNext w:val="0"/>
        <w:keepLines w:val="0"/>
        <w:shd w:val="clear" w:color="auto" w:fill="auto"/>
        <w:bidi w:val="0"/>
        <w:spacing w:before="0" w:after="0"/>
        <w:ind w:left="0" w:right="0" w:firstLine="0"/>
      </w:pPr>
      <w:r>
        <w:rPr>
          <w:lang w:val="ru-RU" w:eastAsia="ru-RU" w:bidi="ru-RU"/>
          <w:w w:val="100"/>
          <w:color w:val="000000"/>
          <w:position w:val="0"/>
        </w:rPr>
        <w:t>УПРАВЛЕНИЕ Федеральной антимонопольной службы но Липецкой области (Липецкое УФАС России)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ил Плеханова, I, г. Липецк. 398050 тел./факс (4742) 27-14-82 </w:t>
      </w:r>
      <w:r>
        <w:rPr>
          <w:lang w:val="en-US" w:eastAsia="en-US" w:bidi="en-US"/>
          <w:w w:val="100"/>
          <w:spacing w:val="0"/>
          <w:color w:val="000000"/>
          <w:position w:val="0"/>
        </w:rPr>
        <w:t xml:space="preserve">e-mail: io48(i£fas.gov.ni litip: </w:t>
      </w:r>
      <w:r>
        <w:fldChar w:fldCharType="begin"/>
      </w:r>
      <w:r>
        <w:rPr>
          <w:color w:val="000000"/>
        </w:rPr>
        <w:instrText> HYPERLINK "http://www.lipetsk.fas.gov.m" </w:instrText>
      </w:r>
      <w:r>
        <w:fldChar w:fldCharType="separate"/>
      </w:r>
      <w:r>
        <w:rPr>
          <w:rStyle w:val="Hyperlink"/>
          <w:lang w:val="en-US" w:eastAsia="en-US" w:bidi="en-US"/>
          <w:w w:val="100"/>
          <w:spacing w:val="0"/>
          <w:position w:val="0"/>
        </w:rPr>
        <w:t>www.lipetsk.fas.gov.m</w:t>
      </w:r>
      <w:r>
        <w:fldChar w:fldCharType="end"/>
      </w:r>
    </w:p>
    <w:p>
      <w:pPr>
        <w:pStyle w:val="Style9"/>
        <w:widowControl w:val="0"/>
        <w:keepNext w:val="0"/>
        <w:keepLines w:val="0"/>
        <w:shd w:val="clear" w:color="auto" w:fill="auto"/>
        <w:bidi w:val="0"/>
        <w:jc w:val="left"/>
        <w:spacing w:before="0" w:after="513"/>
        <w:ind w:left="20" w:right="1520" w:firstLine="0"/>
      </w:pPr>
      <w:r>
        <w:rPr>
          <w:rStyle w:val="CharStyle11"/>
        </w:rPr>
        <w:t xml:space="preserve">ООО «Стройальянс» </w:t>
      </w:r>
      <w:r>
        <w:fldChar w:fldCharType="begin"/>
      </w:r>
      <w:r>
        <w:rPr>
          <w:color w:val="000000"/>
        </w:rPr>
        <w:instrText> HYPERLINK "mailto:stroyalyans70@mail.ru" </w:instrText>
      </w:r>
      <w:r>
        <w:fldChar w:fldCharType="separate"/>
      </w:r>
      <w:r>
        <w:rPr>
          <w:rStyle w:val="Hyperlink"/>
          <w:lang w:val="en-US" w:eastAsia="en-US" w:bidi="en-US"/>
          <w:sz w:val="24"/>
          <w:szCs w:val="24"/>
          <w:w w:val="100"/>
          <w:position w:val="0"/>
        </w:rPr>
        <w:t>stroyalyans70@mail.ru</w:t>
      </w:r>
      <w:r>
        <w:fldChar w:fldCharType="end"/>
      </w:r>
    </w:p>
    <w:p>
      <w:pPr>
        <w:pStyle w:val="Style9"/>
        <w:widowControl w:val="0"/>
        <w:keepNext w:val="0"/>
        <w:keepLines w:val="0"/>
        <w:shd w:val="clear" w:color="auto" w:fill="auto"/>
        <w:bidi w:val="0"/>
        <w:jc w:val="left"/>
        <w:spacing w:before="0" w:after="309" w:line="326" w:lineRule="exact"/>
        <w:ind w:left="20" w:right="0" w:firstLine="0"/>
      </w:pPr>
      <w:r>
        <w:rPr>
          <w:lang w:val="ru-RU" w:eastAsia="ru-RU" w:bidi="ru-RU"/>
          <w:sz w:val="24"/>
          <w:szCs w:val="24"/>
          <w:w w:val="100"/>
          <w:color w:val="000000"/>
          <w:position w:val="0"/>
        </w:rPr>
        <w:t>Муниципальное учреждение "Управление капитального ремонта" г. Липецка</w:t>
      </w:r>
    </w:p>
    <w:p>
      <w:pPr>
        <w:pStyle w:val="Style9"/>
        <w:widowControl w:val="0"/>
        <w:keepNext w:val="0"/>
        <w:keepLines w:val="0"/>
        <w:shd w:val="clear" w:color="auto" w:fill="auto"/>
        <w:bidi w:val="0"/>
        <w:jc w:val="left"/>
        <w:spacing w:before="0" w:after="0" w:line="240" w:lineRule="exact"/>
        <w:ind w:left="20" w:right="0" w:firstLine="0"/>
        <w:sectPr>
          <w:type w:val="continuous"/>
          <w:pgSz w:w="11906" w:h="16838"/>
          <w:pgMar w:top="264" w:left="666" w:right="1804" w:bottom="288" w:header="0" w:footer="3" w:gutter="0"/>
          <w:rtlGutter w:val="0"/>
          <w:cols w:num="2" w:space="682"/>
          <w:noEndnote/>
          <w:docGrid w:linePitch="360"/>
        </w:sectPr>
      </w:pPr>
      <w:r>
        <w:fldChar w:fldCharType="begin"/>
      </w:r>
      <w:r>
        <w:rPr>
          <w:color w:val="000000"/>
        </w:rPr>
        <w:instrText> HYPERLINK "mailto:mzakaz@lipetsk.ru" </w:instrText>
      </w:r>
      <w:r>
        <w:fldChar w:fldCharType="separate"/>
      </w:r>
      <w:r>
        <w:rPr>
          <w:rStyle w:val="Hyperlink"/>
          <w:lang w:val="en-US" w:eastAsia="en-US" w:bidi="en-US"/>
          <w:sz w:val="24"/>
          <w:szCs w:val="24"/>
          <w:w w:val="100"/>
          <w:position w:val="0"/>
        </w:rPr>
        <w:t>mzakaz@lipetsk.ru</w:t>
      </w:r>
      <w:r>
        <w:fldChar w:fldCharType="end"/>
      </w: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317" w:line="336" w:lineRule="exact"/>
        <w:ind w:left="4820" w:right="1260" w:firstLine="0"/>
      </w:pPr>
      <w:r>
        <w:rPr>
          <w:lang w:val="ru-RU" w:eastAsia="ru-RU" w:bidi="ru-RU"/>
          <w:sz w:val="24"/>
          <w:szCs w:val="24"/>
          <w:w w:val="100"/>
          <w:color w:val="000000"/>
          <w:position w:val="0"/>
        </w:rPr>
        <w:t>Управление муниципального заказа администрации города Липецка</w:t>
      </w:r>
    </w:p>
    <w:p>
      <w:pPr>
        <w:pStyle w:val="Style9"/>
        <w:widowControl w:val="0"/>
        <w:keepNext w:val="0"/>
        <w:keepLines w:val="0"/>
        <w:shd w:val="clear" w:color="auto" w:fill="auto"/>
        <w:bidi w:val="0"/>
        <w:jc w:val="left"/>
        <w:spacing w:before="0" w:after="342" w:line="240" w:lineRule="exact"/>
        <w:ind w:left="4820" w:right="0" w:firstLine="0"/>
      </w:pPr>
      <w:r>
        <w:fldChar w:fldCharType="begin"/>
      </w:r>
      <w:r>
        <w:rPr>
          <w:color w:val="000000"/>
        </w:rPr>
        <w:instrText> HYPERLINK "mailto:golikov-pa@cominfo.lipetsk.ru" </w:instrText>
      </w:r>
      <w:r>
        <w:fldChar w:fldCharType="separate"/>
      </w:r>
      <w:r>
        <w:rPr>
          <w:rStyle w:val="Hyperlink"/>
          <w:lang w:val="en-US" w:eastAsia="en-US" w:bidi="en-US"/>
          <w:sz w:val="24"/>
          <w:szCs w:val="24"/>
          <w:w w:val="100"/>
          <w:position w:val="0"/>
        </w:rPr>
        <w:t>golikov-pa@cominfo.lipetsk.ru</w:t>
      </w:r>
      <w:r>
        <w:fldChar w:fldCharType="end"/>
      </w:r>
    </w:p>
    <w:p>
      <w:pPr>
        <w:pStyle w:val="Style9"/>
        <w:widowControl w:val="0"/>
        <w:keepNext w:val="0"/>
        <w:keepLines w:val="0"/>
        <w:shd w:val="clear" w:color="auto" w:fill="auto"/>
        <w:bidi w:val="0"/>
        <w:jc w:val="left"/>
        <w:spacing w:before="0" w:after="570" w:line="653" w:lineRule="exact"/>
        <w:ind w:left="4820" w:right="1260" w:firstLine="0"/>
      </w:pPr>
      <w:r>
        <w:rPr>
          <w:lang w:val="ru-RU" w:eastAsia="ru-RU" w:bidi="ru-RU"/>
          <w:sz w:val="24"/>
          <w:szCs w:val="24"/>
          <w:w w:val="100"/>
          <w:color w:val="000000"/>
          <w:position w:val="0"/>
        </w:rPr>
        <w:t xml:space="preserve">ООО "РТС-тендер" </w:t>
      </w:r>
      <w:r>
        <w:fldChar w:fldCharType="begin"/>
      </w:r>
      <w:r>
        <w:rPr>
          <w:color w:val="000000"/>
        </w:rPr>
        <w:instrText> HYPERLINK "mailto:ko@rts-tender.ru" </w:instrText>
      </w:r>
      <w:r>
        <w:fldChar w:fldCharType="separate"/>
      </w:r>
      <w:r>
        <w:rPr>
          <w:rStyle w:val="Hyperlink"/>
          <w:lang w:val="en-US" w:eastAsia="en-US" w:bidi="en-US"/>
          <w:sz w:val="24"/>
          <w:szCs w:val="24"/>
          <w:w w:val="100"/>
          <w:position w:val="0"/>
        </w:rPr>
        <w:t>ko@rts-tender.ru</w:t>
      </w:r>
      <w:r>
        <w:fldChar w:fldCharType="end"/>
      </w:r>
    </w:p>
    <w:p>
      <w:pPr>
        <w:pStyle w:val="Style9"/>
        <w:widowControl w:val="0"/>
        <w:keepNext w:val="0"/>
        <w:keepLines w:val="0"/>
        <w:shd w:val="clear" w:color="auto" w:fill="auto"/>
        <w:bidi w:val="0"/>
        <w:jc w:val="left"/>
        <w:spacing w:before="0" w:after="377" w:line="240" w:lineRule="exact"/>
        <w:ind w:left="3640" w:right="0" w:firstLine="0"/>
      </w:pPr>
      <w:r>
        <w:rPr>
          <w:lang w:val="ru-RU" w:eastAsia="ru-RU" w:bidi="ru-RU"/>
          <w:sz w:val="24"/>
          <w:szCs w:val="24"/>
          <w:w w:val="100"/>
          <w:color w:val="000000"/>
          <w:position w:val="0"/>
        </w:rPr>
        <w:t>РЕШЕНИЕ № 378м/17</w:t>
      </w:r>
    </w:p>
    <w:p>
      <w:pPr>
        <w:pStyle w:val="Style9"/>
        <w:tabs>
          <w:tab w:leader="none" w:pos="8521" w:val="right"/>
          <w:tab w:leader="none" w:pos="9495" w:val="right"/>
        </w:tabs>
        <w:widowControl w:val="0"/>
        <w:keepNext w:val="0"/>
        <w:keepLines w:val="0"/>
        <w:shd w:val="clear" w:color="auto" w:fill="auto"/>
        <w:bidi w:val="0"/>
        <w:jc w:val="both"/>
        <w:spacing w:before="0" w:after="367" w:line="240" w:lineRule="exact"/>
        <w:ind w:left="20" w:right="0" w:firstLine="0"/>
      </w:pPr>
      <w:r>
        <w:rPr>
          <w:lang w:val="ru-RU" w:eastAsia="ru-RU" w:bidi="ru-RU"/>
          <w:sz w:val="24"/>
          <w:szCs w:val="24"/>
          <w:w w:val="100"/>
          <w:color w:val="000000"/>
          <w:position w:val="0"/>
        </w:rPr>
        <w:t>«14» ноября 2017 года</w:t>
        <w:tab/>
        <w:t>г.</w:t>
        <w:tab/>
        <w:t>Липецк</w:t>
      </w:r>
    </w:p>
    <w:p>
      <w:pPr>
        <w:pStyle w:val="Style9"/>
        <w:widowControl w:val="0"/>
        <w:keepNext w:val="0"/>
        <w:keepLines w:val="0"/>
        <w:shd w:val="clear" w:color="auto" w:fill="auto"/>
        <w:bidi w:val="0"/>
        <w:jc w:val="both"/>
        <w:spacing w:before="0" w:after="17" w:line="240" w:lineRule="exact"/>
        <w:ind w:left="20" w:right="0" w:firstLine="700"/>
      </w:pPr>
      <w:r>
        <w:rPr>
          <w:lang w:val="ru-RU" w:eastAsia="ru-RU" w:bidi="ru-RU"/>
          <w:sz w:val="24"/>
          <w:szCs w:val="24"/>
          <w:w w:val="100"/>
          <w:color w:val="000000"/>
          <w:position w:val="0"/>
        </w:rPr>
        <w:t>Резолютивная часть решения оглашена 14.11.2017.</w:t>
      </w:r>
    </w:p>
    <w:p>
      <w:pPr>
        <w:pStyle w:val="Style9"/>
        <w:widowControl w:val="0"/>
        <w:keepNext w:val="0"/>
        <w:keepLines w:val="0"/>
        <w:shd w:val="clear" w:color="auto" w:fill="auto"/>
        <w:bidi w:val="0"/>
        <w:jc w:val="both"/>
        <w:spacing w:before="0" w:after="321" w:line="240" w:lineRule="exact"/>
        <w:ind w:left="20" w:right="0" w:firstLine="700"/>
      </w:pPr>
      <w:r>
        <w:rPr>
          <w:lang w:val="ru-RU" w:eastAsia="ru-RU" w:bidi="ru-RU"/>
          <w:sz w:val="24"/>
          <w:szCs w:val="24"/>
          <w:w w:val="100"/>
          <w:color w:val="000000"/>
          <w:position w:val="0"/>
        </w:rPr>
        <w:t>Решение в полном объеме изготовлено 17.11.2017.</w:t>
      </w:r>
    </w:p>
    <w:p>
      <w:pPr>
        <w:pStyle w:val="Style9"/>
        <w:widowControl w:val="0"/>
        <w:keepNext w:val="0"/>
        <w:keepLines w:val="0"/>
        <w:shd w:val="clear" w:color="auto" w:fill="auto"/>
        <w:bidi w:val="0"/>
        <w:jc w:val="both"/>
        <w:spacing w:before="0" w:after="0" w:line="317" w:lineRule="exact"/>
        <w:ind w:left="20" w:right="460" w:firstLine="700"/>
      </w:pPr>
      <w:r>
        <w:rPr>
          <w:lang w:val="ru-RU" w:eastAsia="ru-RU" w:bidi="ru-RU"/>
          <w:sz w:val="24"/>
          <w:szCs w:val="24"/>
          <w:w w:val="10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9"/>
        <w:widowControl w:val="0"/>
        <w:keepNext w:val="0"/>
        <w:keepLines w:val="0"/>
        <w:shd w:val="clear" w:color="auto" w:fill="auto"/>
        <w:bidi w:val="0"/>
        <w:jc w:val="left"/>
        <w:spacing w:before="0" w:after="0" w:line="317" w:lineRule="exact"/>
        <w:ind w:left="20" w:right="460" w:firstLine="700"/>
      </w:pPr>
      <w:r>
        <w:rPr>
          <w:lang w:val="ru-RU" w:eastAsia="ru-RU" w:bidi="ru-RU"/>
          <w:sz w:val="24"/>
          <w:szCs w:val="24"/>
          <w:w w:val="100"/>
          <w:color w:val="000000"/>
          <w:position w:val="0"/>
        </w:rPr>
        <w:t>председатель Комиссии - И.В. Поткина - руководитель Управления; заместитель председателя Комиссии - Т.Н. Ролдугина - начальник отдела контроля закупок и торгов;</w:t>
      </w:r>
    </w:p>
    <w:p>
      <w:pPr>
        <w:pStyle w:val="Style9"/>
        <w:widowControl w:val="0"/>
        <w:keepNext w:val="0"/>
        <w:keepLines w:val="0"/>
        <w:shd w:val="clear" w:color="auto" w:fill="auto"/>
        <w:bidi w:val="0"/>
        <w:jc w:val="both"/>
        <w:spacing w:before="0" w:after="0" w:line="317" w:lineRule="exact"/>
        <w:ind w:left="20" w:right="460" w:firstLine="700"/>
      </w:pPr>
      <w:r>
        <w:rPr>
          <w:lang w:val="ru-RU" w:eastAsia="ru-RU" w:bidi="ru-RU"/>
          <w:sz w:val="24"/>
          <w:szCs w:val="24"/>
          <w:w w:val="100"/>
          <w:color w:val="000000"/>
          <w:position w:val="0"/>
        </w:rPr>
        <w:t>члены Комиссии: О.И. Панина - ведущий специалист-эксперт отдела контроля закупок и торгов,</w:t>
      </w:r>
    </w:p>
    <w:p>
      <w:pPr>
        <w:pStyle w:val="Style9"/>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в присутствии представителей:</w:t>
      </w:r>
    </w:p>
    <w:p>
      <w:pPr>
        <w:pStyle w:val="Style9"/>
        <w:numPr>
          <w:ilvl w:val="0"/>
          <w:numId w:val="1"/>
        </w:numPr>
        <w:widowControl w:val="0"/>
        <w:keepNext w:val="0"/>
        <w:keepLines w:val="0"/>
        <w:shd w:val="clear" w:color="auto" w:fill="auto"/>
        <w:bidi w:val="0"/>
        <w:jc w:val="both"/>
        <w:spacing w:before="0" w:after="0" w:line="322" w:lineRule="exact"/>
        <w:ind w:left="20" w:right="460" w:firstLine="700"/>
      </w:pPr>
      <w:r>
        <w:rPr>
          <w:lang w:val="ru-RU" w:eastAsia="ru-RU" w:bidi="ru-RU"/>
          <w:sz w:val="24"/>
          <w:szCs w:val="24"/>
          <w:w w:val="100"/>
          <w:color w:val="000000"/>
          <w:position w:val="0"/>
        </w:rPr>
        <w:t xml:space="preserve"> управления муниципального заказа администрации города Липецка - Пихуновой О.Л. (доверенность от 20.09.2017),</w:t>
      </w:r>
    </w:p>
    <w:p>
      <w:pPr>
        <w:pStyle w:val="Style9"/>
        <w:numPr>
          <w:ilvl w:val="0"/>
          <w:numId w:val="1"/>
        </w:numPr>
        <w:widowControl w:val="0"/>
        <w:keepNext w:val="0"/>
        <w:keepLines w:val="0"/>
        <w:shd w:val="clear" w:color="auto" w:fill="auto"/>
        <w:bidi w:val="0"/>
        <w:jc w:val="both"/>
        <w:spacing w:before="0" w:after="29" w:line="322" w:lineRule="exact"/>
        <w:ind w:left="20" w:right="460" w:firstLine="700"/>
      </w:pPr>
      <w:r>
        <w:rPr>
          <w:lang w:val="ru-RU" w:eastAsia="ru-RU" w:bidi="ru-RU"/>
          <w:sz w:val="24"/>
          <w:szCs w:val="24"/>
          <w:w w:val="100"/>
          <w:color w:val="000000"/>
          <w:position w:val="0"/>
        </w:rPr>
        <w:t xml:space="preserve"> муниципального учреждения "Управление капитального ремонта" г. Липецка - Скосарева А.Г. (доверенность от 17.05.2017),</w:t>
      </w:r>
    </w:p>
    <w:p>
      <w:pPr>
        <w:pStyle w:val="Style12"/>
        <w:widowControl w:val="0"/>
        <w:keepNext/>
        <w:keepLines/>
        <w:shd w:val="clear" w:color="auto" w:fill="auto"/>
        <w:bidi w:val="0"/>
        <w:spacing w:before="0" w:after="0" w:line="360" w:lineRule="exact"/>
        <w:ind w:left="0" w:right="280" w:firstLine="0"/>
      </w:pPr>
      <w:bookmarkStart w:id="0" w:name="bookmark0"/>
      <w:r>
        <w:rPr>
          <w:lang w:val="ru-RU" w:eastAsia="ru-RU" w:bidi="ru-RU"/>
          <w:w w:val="100"/>
          <w:color w:val="000000"/>
          <w:position w:val="0"/>
        </w:rPr>
        <w:t>047979</w:t>
      </w:r>
      <w:bookmarkEnd w:id="0"/>
    </w:p>
    <w:p>
      <w:pPr>
        <w:pStyle w:val="Style9"/>
        <w:widowControl w:val="0"/>
        <w:keepNext w:val="0"/>
        <w:keepLines w:val="0"/>
        <w:shd w:val="clear" w:color="auto" w:fill="auto"/>
        <w:bidi w:val="0"/>
        <w:jc w:val="both"/>
        <w:spacing w:before="0" w:after="309" w:line="326" w:lineRule="exact"/>
        <w:ind w:left="20" w:right="20" w:firstLine="700"/>
      </w:pPr>
      <w:r>
        <w:rPr>
          <w:lang w:val="ru-RU" w:eastAsia="ru-RU" w:bidi="ru-RU"/>
          <w:sz w:val="24"/>
          <w:szCs w:val="24"/>
          <w:w w:val="100"/>
          <w:color w:val="000000"/>
          <w:position w:val="0"/>
        </w:rPr>
        <w:t>рассмотрев жалобу ООО «Стройальянс» на положения документации об электронном аукционе на поставку и установку детского игрового оборудования и малых форм, устройство детской площадки с песчаным покрытием, устройство дорожки из бетонных плиток, установка ограждения на территории микрорайона № 12 города Липецка в части комплексного благоустройства дворовых территорий МКД города Липецка в 2017 году (реестровый номер 0146300030217000644) (далее- электронный аукцион),</w:t>
      </w:r>
    </w:p>
    <w:p>
      <w:pPr>
        <w:pStyle w:val="Style9"/>
        <w:widowControl w:val="0"/>
        <w:keepNext w:val="0"/>
        <w:keepLines w:val="0"/>
        <w:shd w:val="clear" w:color="auto" w:fill="auto"/>
        <w:bidi w:val="0"/>
        <w:jc w:val="center"/>
        <w:spacing w:before="0" w:after="246" w:line="240" w:lineRule="exact"/>
        <w:ind w:left="0" w:right="0" w:firstLine="0"/>
      </w:pPr>
      <w:r>
        <w:rPr>
          <w:rStyle w:val="CharStyle14"/>
        </w:rPr>
        <w:t>УСТАНОВИЛА:</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адрес Липецкого УФАС России 07Л 1.2017 поступила жалоба ООО «Стройальянс» на положения документации об электронном аукционе (заказчик - муниципальное учреждение "Управление капитального ремонта" г. Липецка; уполномоченный орган - управление муниципального заказа администрации города Липецка).</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ООО «Стройальянс», извещенное о времени и месте рассмотрения жалобы надлежащим образом, не направило своих представителей для участия в рассмотрении жалобы.</w:t>
      </w:r>
    </w:p>
    <w:p>
      <w:pPr>
        <w:pStyle w:val="Style9"/>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 заседании комиссии велась аудиозапись.</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жалобе ООО «Стройальянс» указано, что заказчиком при описании объекта закупки допущены нарушения требований ст. 33 Закона о контрактной системе, а именно, в технической части документации об электронном аукционе, а также в проекте (приложение к документации об электронном аукционе) не указаны характеристики закупаемого товара. При этом, проект содержит указание на товарные знаки без сопровождения словами "или эквивалент". Кроме этого, в аукционной документации имеется противоречие относительно состава первой части заявки на участие в электронном аукционе. Так п. 2.18 документации об электронном аукционе установлено, что первая часть заявки должна содержать согласие на выполнение работ на условиях, предусмотренных документацией об электронном аукционе. Однако, в рекомендуемой форме аукционной заявки, предлагается заполнить таблицу «Сведения о наименовании и описание объекта закупки» (приложение №2), а инструкция по заполнению заявки содержит рекомендации по заполнению данной таблицы. По мнению заявителя, данное противоречие в аукционной документации вводит участников закупки в заблуждение.</w:t>
      </w:r>
    </w:p>
    <w:p>
      <w:pPr>
        <w:pStyle w:val="Style9"/>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color w:val="000000"/>
          <w:position w:val="0"/>
        </w:rPr>
        <w:t>Представители заказчика и уполномоченного органа не согласны и жалобой, считают ее необоснованной, представили письменные возражения.</w:t>
      </w:r>
    </w:p>
    <w:p>
      <w:pPr>
        <w:pStyle w:val="Style9"/>
        <w:widowControl w:val="0"/>
        <w:keepNext w:val="0"/>
        <w:keepLines w:val="0"/>
        <w:shd w:val="clear" w:color="auto" w:fill="auto"/>
        <w:bidi w:val="0"/>
        <w:jc w:val="both"/>
        <w:spacing w:before="0" w:after="0" w:line="312" w:lineRule="exact"/>
        <w:ind w:left="20" w:right="20" w:firstLine="70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проведя внеплановую проверку и выслушав мнение представителей заказчика и уполномоченного органа, Комиссия Липецкого УФАС России установила следующее:</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уполномоченным органом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ч.1 ст.ЗЗ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9"/>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numPr>
          <w:ilvl w:val="0"/>
          <w:numId w:val="3"/>
        </w:numPr>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Из анализа извещения о проведении электронного аукциона и документации об электронном аукционе установлено, что объектом закупки является поставка и установка детского игрового оборудования и малых форм, устройство детской площадки с песчаным покрытием, устройство дорожки из бетонных плиток, установка ограждения.</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ходе анализа документации об электронном аукционе установлено, что работы выполняются согласно проекту «Благоустройство дворовых территорий микрорайона №12 города Липецка», выполненному акционерным обществом проектный институт «Липецкгражданпроект» (шифр 13072-1-ГП) и локальным сметным расчётам, которые содержат показатели, связанные с определением соответствия закупаемы работы потребностям заказчика, в том числе содержат указание на материалы, используемые при выполнении работ.</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Установлено, что проект и локально-сметный расчет включены в состав документации об электронном аукционе и размещены на сайте единой информационной системы в сфере закупок, что свидетельствует о соблюдении заказчиком требований ч. 2 ст. 33 Закона о контрактной системе.</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этом, следует отметить, что ст. 33 Закона о контрактной системе не устанавливает обязанность для заказчика, описав объект закупки путем установления требований к закупаемым работам, в обязательном порядке устанавливать требования к функциональным, техническим и качественным характеристикам, эксплуатационным характеристикам материалов, используемых при выполнении работ.</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На основании вышеизложенного довод жалобы о не установлении заказчиком требований к функциональным, техническим и качественным характеристикам товаров и материалов, используемых при выполнении работ, Комиссией признается необоснованным.</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ходе рассмотрения жалобы Комиссией было установлено, что проект «Благоустройство дворовых территорий микрорайона №12 города Липецка» (шифр 13072-1-ГП), в том числе, содержит указание в отношении товарных знаков используемых при выполнении работ материалов.</w:t>
      </w:r>
    </w:p>
    <w:p>
      <w:pPr>
        <w:pStyle w:val="Style9"/>
        <w:tabs>
          <w:tab w:leader="none" w:pos="5626" w:val="lef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этом, из анализа документации об электронном аукционе установлено, что в п. 2.6 раздела 5 «Техническая часть» документации об электронном аукционе указано: «В случае если в настоящем Техническом задании и проекте «Благоустройство дворовых территорий микрорайона №12 города Липецка» выполненному Акционерным обществом Проектный институт «Липецкгражданпроект», шифр проекта:</w:t>
        <w:tab/>
        <w:t>13072-1-ГП имеются ссылки на</w:t>
      </w:r>
    </w:p>
    <w:p>
      <w:pPr>
        <w:pStyle w:val="Style9"/>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конкретные товарные знаки, допускается применение эквивалента, который соответствует или превосходит по качеству и техническим характеристикам».</w:t>
      </w:r>
    </w:p>
    <w:p>
      <w:pPr>
        <w:pStyle w:val="Style9"/>
        <w:widowControl w:val="0"/>
        <w:keepNext w:val="0"/>
        <w:keepLines w:val="0"/>
        <w:shd w:val="clear" w:color="auto" w:fill="auto"/>
        <w:bidi w:val="0"/>
        <w:jc w:val="both"/>
        <w:spacing w:before="0" w:after="296" w:line="312" w:lineRule="exact"/>
        <w:ind w:left="20" w:right="20" w:firstLine="700"/>
      </w:pPr>
      <w:r>
        <w:rPr>
          <w:lang w:val="ru-RU" w:eastAsia="ru-RU" w:bidi="ru-RU"/>
          <w:sz w:val="24"/>
          <w:szCs w:val="24"/>
          <w:w w:val="100"/>
          <w:color w:val="000000"/>
          <w:position w:val="0"/>
        </w:rPr>
        <w:t>Таким образом, рассматриваемый довод о неправомерном указании в проекте товарных знаков без сопровождения словами «эквивалент» не нашел своего подтверждения.</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Согласно п. 2.18 «Информация и документы, входящие в состав заявки на участие в аукционе» информационной карты документации об электронном аукционе, первая часть заявки на участие в аукционе должна содержать согласие участника аукциона на выполнение работ на условиях, предусмотренных документацией об аукционе.</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Также установлено, что документация об электронном аукционе (приложение №1) содержит рекомендуемую форму аукционной заявки.</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При этом, данная форма носит рекомендательный характер и не является требованием к составу заявки на участие в электронном аукционе.</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Из анализа представленных документов следует, что документация об электронном аукционе содержит инструкцию по заполнению заявки на участие в электронном аукционе, в которой, в том числе, указано: «При проведении аукциона на выполнение работы или оказание услуги первая часть заявки на участие в электронном аукционе должна содержать согласие участника такого аукциона на выполнение работ или оказание услуг на условиях, предусмотренных документацией об электронном аукционе».</w:t>
      </w:r>
    </w:p>
    <w:p>
      <w:pPr>
        <w:pStyle w:val="Style9"/>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Таким образом, установленное заказчиком требование к составу первой части заявки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полностью согласуется с установленными заказчиком требованиями при описании объекта закупки.</w:t>
      </w:r>
    </w:p>
    <w:p>
      <w:pPr>
        <w:pStyle w:val="Style9"/>
        <w:widowControl w:val="0"/>
        <w:keepNext w:val="0"/>
        <w:keepLines w:val="0"/>
        <w:shd w:val="clear" w:color="auto" w:fill="auto"/>
        <w:bidi w:val="0"/>
        <w:jc w:val="both"/>
        <w:spacing w:before="0" w:after="0" w:line="331" w:lineRule="exact"/>
        <w:ind w:left="20" w:right="20" w:firstLine="720"/>
      </w:pPr>
      <w:r>
        <w:rPr>
          <w:lang w:val="ru-RU" w:eastAsia="ru-RU" w:bidi="ru-RU"/>
          <w:sz w:val="24"/>
          <w:szCs w:val="24"/>
          <w:w w:val="100"/>
          <w:color w:val="000000"/>
          <w:position w:val="0"/>
        </w:rPr>
        <w:t>На основании изложенного, довод жалобы о наличии в документации об электронном аукционе противоречий относительно требования к составу первой части заявки, не нашел подтверждения.</w:t>
      </w:r>
    </w:p>
    <w:p>
      <w:pPr>
        <w:pStyle w:val="Style9"/>
        <w:widowControl w:val="0"/>
        <w:keepNext w:val="0"/>
        <w:keepLines w:val="0"/>
        <w:shd w:val="clear" w:color="auto" w:fill="auto"/>
        <w:bidi w:val="0"/>
        <w:jc w:val="both"/>
        <w:spacing w:before="0" w:after="302" w:line="317" w:lineRule="exact"/>
        <w:ind w:left="20" w:right="20" w:firstLine="720"/>
      </w:pPr>
      <w:r>
        <w:rPr>
          <w:lang w:val="ru-RU" w:eastAsia="ru-RU" w:bidi="ru-RU"/>
          <w:sz w:val="24"/>
          <w:szCs w:val="24"/>
          <w:w w:val="10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Комиссия</w:t>
      </w:r>
    </w:p>
    <w:p>
      <w:pPr>
        <w:pStyle w:val="Style9"/>
        <w:widowControl w:val="0"/>
        <w:keepNext w:val="0"/>
        <w:keepLines w:val="0"/>
        <w:shd w:val="clear" w:color="auto" w:fill="auto"/>
        <w:bidi w:val="0"/>
        <w:jc w:val="center"/>
        <w:spacing w:before="0" w:after="307" w:line="240" w:lineRule="exact"/>
        <w:ind w:left="0" w:right="0" w:firstLine="0"/>
      </w:pPr>
      <w:r>
        <w:rPr>
          <w:rStyle w:val="CharStyle14"/>
        </w:rPr>
        <w:t>РЕШИЛА:</w:t>
      </w:r>
    </w:p>
    <w:p>
      <w:pPr>
        <w:pStyle w:val="Style9"/>
        <w:tabs>
          <w:tab w:leader="none" w:pos="562" w:val="left"/>
        </w:tabs>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color w:val="000000"/>
          <w:position w:val="0"/>
        </w:rPr>
        <w:t>1. Признать жалобу ООО «Стройальянс» на положения документации об электронном аукционе на поставку и установку детского игрового оборудования и малых форм, устройство детской площадки с песчаным покрытием, устройство дорожки из бетонных плиток, установка ограждения на территории микрорайона №</w:t>
        <w:tab/>
        <w:t>12 города Липецка в части комплексного благоустройства дворовых</w:t>
      </w:r>
    </w:p>
    <w:p>
      <w:pPr>
        <w:pStyle w:val="Style9"/>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территорий МКД города Липецка в 2017 году (реестровый номер 0146300030217000644)необоснованной.</w:t>
      </w:r>
    </w:p>
    <w:p>
      <w:pPr>
        <w:pStyle w:val="Style9"/>
        <w:widowControl w:val="0"/>
        <w:keepNext w:val="0"/>
        <w:keepLines w:val="0"/>
        <w:shd w:val="clear" w:color="auto" w:fill="auto"/>
        <w:bidi w:val="0"/>
        <w:jc w:val="both"/>
        <w:spacing w:before="0" w:after="605" w:line="322" w:lineRule="exact"/>
        <w:ind w:left="20" w:right="20" w:firstLine="720"/>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pStyle w:val="Style9"/>
        <w:widowControl w:val="0"/>
        <w:keepNext w:val="0"/>
        <w:keepLines w:val="0"/>
        <w:shd w:val="clear" w:color="auto" w:fill="auto"/>
        <w:bidi w:val="0"/>
        <w:jc w:val="both"/>
        <w:spacing w:before="0" w:after="382" w:line="240" w:lineRule="exact"/>
        <w:ind w:left="20" w:right="0" w:firstLine="0"/>
      </w:pPr>
      <w:r>
        <w:rPr>
          <w:lang w:val="ru-RU" w:eastAsia="ru-RU" w:bidi="ru-RU"/>
          <w:sz w:val="24"/>
          <w:szCs w:val="24"/>
          <w:w w:val="100"/>
          <w:color w:val="000000"/>
          <w:position w:val="0"/>
        </w:rPr>
        <w:t>Председатель Комиссии:</w:t>
      </w:r>
    </w:p>
    <w:p>
      <w:pPr>
        <w:pStyle w:val="Style9"/>
        <w:widowControl w:val="0"/>
        <w:keepNext w:val="0"/>
        <w:keepLines w:val="0"/>
        <w:shd w:val="clear" w:color="auto" w:fill="auto"/>
        <w:bidi w:val="0"/>
        <w:jc w:val="both"/>
        <w:spacing w:before="0" w:after="432" w:line="240" w:lineRule="exact"/>
        <w:ind w:left="20" w:right="0" w:firstLine="0"/>
      </w:pPr>
      <w:r>
        <w:rPr>
          <w:lang w:val="ru-RU" w:eastAsia="ru-RU" w:bidi="ru-RU"/>
          <w:sz w:val="24"/>
          <w:szCs w:val="24"/>
          <w:w w:val="100"/>
          <w:color w:val="000000"/>
          <w:position w:val="0"/>
        </w:rPr>
        <w:t>Заместитель председателя Комиссии:</w:t>
      </w:r>
    </w:p>
    <w:p>
      <w:pPr>
        <w:pStyle w:val="Style9"/>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color w:val="000000"/>
          <w:position w:val="0"/>
        </w:rPr>
        <w:t>Члены Комиссии:</w:t>
      </w:r>
    </w:p>
    <w:sectPr>
      <w:type w:val="continuous"/>
      <w:pgSz w:w="11906" w:h="16838"/>
      <w:pgMar w:top="791" w:left="669" w:right="669" w:bottom="537" w:header="0" w:footer="3" w:gutter="20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8">
    <w:name w:val="Основной текст (4)_"/>
    <w:basedOn w:val="DefaultParagraphFont"/>
    <w:link w:val="Style7"/>
    <w:rPr>
      <w:b w:val="0"/>
      <w:bCs w:val="0"/>
      <w:i w:val="0"/>
      <w:iCs w:val="0"/>
      <w:u w:val="none"/>
      <w:strike w:val="0"/>
      <w:smallCaps w:val="0"/>
      <w:sz w:val="15"/>
      <w:szCs w:val="15"/>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spacing w:val="10"/>
    </w:rPr>
  </w:style>
  <w:style w:type="character" w:customStyle="1" w:styleId="CharStyle11">
    <w:name w:val="Основной текст + 13 pt,Интервал 0 pt"/>
    <w:basedOn w:val="CharStyle10"/>
    <w:rPr>
      <w:lang w:val="ru-RU" w:eastAsia="ru-RU" w:bidi="ru-RU"/>
      <w:sz w:val="26"/>
      <w:szCs w:val="26"/>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36"/>
      <w:szCs w:val="36"/>
      <w:rFonts w:ascii="Times New Roman" w:eastAsia="Times New Roman" w:hAnsi="Times New Roman" w:cs="Times New Roman"/>
      <w:spacing w:val="30"/>
    </w:rPr>
  </w:style>
  <w:style w:type="character" w:customStyle="1" w:styleId="CharStyle14">
    <w:name w:val="Основной текст + Интервал 3 pt"/>
    <w:basedOn w:val="CharStyle10"/>
    <w:rPr>
      <w:lang w:val="ru-RU" w:eastAsia="ru-RU" w:bidi="ru-RU"/>
      <w:sz w:val="24"/>
      <w:szCs w:val="24"/>
      <w:w w:val="100"/>
      <w:spacing w:val="70"/>
      <w:color w:val="000000"/>
      <w:position w:val="0"/>
    </w:rPr>
  </w:style>
  <w:style w:type="paragraph" w:customStyle="1" w:styleId="Style3">
    <w:name w:val="Основной текст (2)"/>
    <w:basedOn w:val="Normal"/>
    <w:link w:val="CharStyle4"/>
    <w:pPr>
      <w:widowControl w:val="0"/>
      <w:shd w:val="clear" w:color="auto" w:fill="FFFFFF"/>
      <w:jc w:val="center"/>
      <w:spacing w:line="230"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line="240"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line="19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after="240" w:line="667"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2">
    <w:name w:val="Заголовок №1"/>
    <w:basedOn w:val="Normal"/>
    <w:link w:val="CharStyle13"/>
    <w:pPr>
      <w:widowControl w:val="0"/>
      <w:shd w:val="clear" w:color="auto" w:fill="FFFFFF"/>
      <w:jc w:val="right"/>
      <w:outlineLvl w:val="0"/>
      <w:spacing w:before="60" w:line="0" w:lineRule="exact"/>
    </w:pPr>
    <w:rPr>
      <w:b w:val="0"/>
      <w:bCs w:val="0"/>
      <w:i w:val="0"/>
      <w:iCs w:val="0"/>
      <w:u w:val="none"/>
      <w:strike w:val="0"/>
      <w:smallCaps w:val="0"/>
      <w:sz w:val="36"/>
      <w:szCs w:val="3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