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2"/>
        <w:tabs>
          <w:tab w:leader="hyphen" w:pos="2355" w:val="center"/>
          <w:tab w:leader="hyphen" w:pos="2821" w:val="left"/>
        </w:tabs>
        <w:widowControl w:val="0"/>
        <w:keepNext w:val="0"/>
        <w:keepLines w:val="0"/>
        <w:shd w:val="clear" w:color="auto" w:fill="auto"/>
        <w:bidi w:val="0"/>
        <w:spacing w:before="79" w:after="0" w:line="90" w:lineRule="exact"/>
        <w:ind w:left="1880" w:right="0" w:firstLine="0"/>
      </w:pPr>
      <w:r>
        <w:rPr>
          <w:rStyle w:val="CharStyle14"/>
        </w:rPr>
        <w:tab/>
        <w:t>V-</w:t>
        <w:tab/>
      </w:r>
    </w:p>
    <w:p>
      <w:pPr>
        <w:pStyle w:val="Style3"/>
        <w:framePr w:w="4883" w:h="2625" w:wrap="around" w:vAnchor="text" w:hAnchor="margin" w:x="42" w:y="723"/>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83" w:h="2625" w:wrap="around" w:vAnchor="text" w:hAnchor="margin" w:x="42" w:y="723"/>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83" w:h="2625" w:wrap="around" w:vAnchor="text" w:hAnchor="margin" w:x="42" w:y="723"/>
        <w:widowControl w:val="0"/>
        <w:keepNext w:val="0"/>
        <w:keepLines w:val="0"/>
        <w:shd w:val="clear" w:color="auto" w:fill="auto"/>
        <w:bidi w:val="0"/>
        <w:jc w:val="left"/>
        <w:spacing w:before="0" w:after="260" w:line="240" w:lineRule="exact"/>
        <w:ind w:left="20" w:right="0" w:firstLine="0"/>
      </w:pPr>
      <w:r>
        <w:rPr>
          <w:rStyle w:val="CharStyle8"/>
          <w:spacing w:val="0"/>
        </w:rPr>
        <w:t>14.11.2017 № 06/13073</w:t>
      </w:r>
    </w:p>
    <w:p>
      <w:pPr>
        <w:pStyle w:val="Style9"/>
        <w:framePr w:w="4883" w:h="2625" w:wrap="around" w:vAnchor="text" w:hAnchor="margin" w:x="42" w:y="723"/>
        <w:widowControl w:val="0"/>
        <w:keepNext w:val="0"/>
        <w:keepLines w:val="0"/>
        <w:shd w:val="clear" w:color="auto" w:fill="auto"/>
        <w:bidi w:val="0"/>
        <w:jc w:val="left"/>
        <w:spacing w:before="0" w:after="0" w:line="200" w:lineRule="exact"/>
        <w:ind w:left="20" w:right="0" w:firstLine="0"/>
      </w:pPr>
      <w:r>
        <w:rPr>
          <w:rStyle w:val="CharStyle10"/>
        </w:rPr>
        <w:t>На № 0175300020917000009/1 от 08.11.2017</w:t>
      </w:r>
    </w:p>
    <w:p>
      <w:pPr>
        <w:pStyle w:val="Style3"/>
        <w:widowControl w:val="0"/>
        <w:keepNext w:val="0"/>
        <w:keepLines w:val="0"/>
        <w:shd w:val="clear" w:color="auto" w:fill="auto"/>
        <w:bidi w:val="0"/>
        <w:spacing w:before="0" w:after="266"/>
        <w:ind w:left="400" w:right="0" w:firstLine="0"/>
      </w:pPr>
      <w:r>
        <w:rPr>
          <w:lang w:val="ru-RU" w:eastAsia="ru-RU" w:bidi="ru-RU"/>
          <w:w w:val="100"/>
          <w:spacing w:val="0"/>
          <w:color w:val="000000"/>
          <w:position w:val="0"/>
        </w:rPr>
        <w:t>ФЕДЕРАЛЬНАЯ АНТИМОНОПОЛЬНАЯ СЛУЖБА</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ind w:left="0" w:right="220" w:firstLine="0"/>
      </w:pPr>
      <w:r>
        <w:rPr>
          <w:lang w:val="ru-RU" w:eastAsia="ru-RU" w:bidi="ru-RU"/>
          <w:w w:val="100"/>
          <w:spacing w:val="0"/>
          <w:color w:val="000000"/>
          <w:position w:val="0"/>
        </w:rPr>
        <w:t>Департамент по вопросам жилищно - коммунального хозяйства Администрации города Ялты Республики Крым 298612, Республика Крым, г. Ялта, ул. Дзержинского, д. 4</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940" w:firstLine="0"/>
      </w:pPr>
      <w:r>
        <w:rPr>
          <w:lang w:val="ru-RU" w:eastAsia="ru-RU" w:bidi="ru-RU"/>
          <w:w w:val="100"/>
          <w:spacing w:val="0"/>
          <w:color w:val="000000"/>
          <w:position w:val="0"/>
        </w:rPr>
        <w:t>Общество с ограниченной ответственно стью «АЛКОТЕК - ДОН»</w:t>
      </w:r>
    </w:p>
    <w:p>
      <w:pPr>
        <w:pStyle w:val="Style7"/>
        <w:widowControl w:val="0"/>
        <w:keepNext w:val="0"/>
        <w:keepLines w:val="0"/>
        <w:shd w:val="clear" w:color="auto" w:fill="auto"/>
        <w:bidi w:val="0"/>
        <w:jc w:val="left"/>
        <w:spacing w:before="0" w:after="349"/>
        <w:ind w:left="4980" w:right="940" w:firstLine="0"/>
      </w:pPr>
      <w:r>
        <w:rPr>
          <w:lang w:val="ru-RU" w:eastAsia="ru-RU" w:bidi="ru-RU"/>
          <w:w w:val="100"/>
          <w:spacing w:val="0"/>
          <w:color w:val="000000"/>
          <w:position w:val="0"/>
        </w:rPr>
        <w:t>344082, Ростовская область, г. Ростов - на - Дону, ул. Максима Горького, д. 245, офис 306</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184" w:line="326" w:lineRule="exact"/>
        <w:ind w:left="4980" w:right="520" w:firstLine="0"/>
      </w:pPr>
      <w:r>
        <w:rPr>
          <w:lang w:val="ru-RU" w:eastAsia="ru-RU" w:bidi="ru-RU"/>
          <w:w w:val="100"/>
          <w:spacing w:val="0"/>
          <w:color w:val="000000"/>
          <w:position w:val="0"/>
        </w:rPr>
        <w:t>420021, Республика Татарстан, г. Казань, ул. Московская, д. 55</w:t>
      </w:r>
    </w:p>
    <w:p>
      <w:pPr>
        <w:pStyle w:val="Style17"/>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№06/4258-17 о нарушении законодательства Российской Федерации о контрактной системе в сфере закупок</w:t>
      </w:r>
    </w:p>
    <w:p>
      <w:pPr>
        <w:pStyle w:val="Style7"/>
        <w:numPr>
          <w:ilvl w:val="0"/>
          <w:numId w:val="3"/>
        </w:numPr>
        <w:tabs>
          <w:tab w:leader="none" w:pos="8045" w:val="left"/>
          <w:tab w:leader="none" w:pos="8071"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tabs>
          <w:tab w:leader="none" w:pos="10186"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08.11.2017 №0175300020917000009/1 (вх. №4857/09 от 08.11.2017) на действия Заказчика при проведении электронного аукциона «Благоустройство дворовых территорий в муниципальном образовании городской округ Ялта Республики Крым» (номер извещения 0175300020917000009) (далее — Аукцион), в соответствии со статьей 106 Федерального закона от</w:t>
      </w:r>
    </w:p>
    <w:p>
      <w:pPr>
        <w:pStyle w:val="Style7"/>
        <w:numPr>
          <w:ilvl w:val="0"/>
          <w:numId w:val="5"/>
        </w:numPr>
        <w:tabs>
          <w:tab w:leader="none" w:pos="10186" w:val="right"/>
          <w:tab w:leader="none" w:pos="1378"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w:t>
      </w:r>
      <w:r>
        <w:rPr>
          <w:rStyle w:val="CharStyle19"/>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чем нарушены требования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№06/12741,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извещение об осуществлении закупки размещено на официальном сайте — 26.10.2017, изменения - 10.11.2017;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- 26 780 476,00 рублей;</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27.11.2017 10:00, дата окончания срока рассмотрения первых частей заявок участников: 28.11.2017, дата проведения Аукциона: 01.12.2017.</w:t>
      </w:r>
    </w:p>
    <w:p>
      <w:pPr>
        <w:pStyle w:val="Style7"/>
        <w:numPr>
          <w:ilvl w:val="0"/>
          <w:numId w:val="9"/>
        </w:numPr>
        <w:tabs>
          <w:tab w:leader="none" w:pos="1239"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благоустройство дворовых территорий,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1"/>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0"/>
        <w:framePr w:w="10186" w:wrap="notBeside" w:vAnchor="text" w:hAnchor="text" w:xAlign="center" w:y="1"/>
        <w:tabs>
          <w:tab w:leader="underscore" w:pos="10186"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w:t>
      </w:r>
      <w:r>
        <w:rPr>
          <w:rStyle w:val="CharStyle22"/>
        </w:rPr>
        <w:t xml:space="preserve">забот, по указанным Заявителем в жалобе: </w:t>
      </w:r>
      <w:r>
        <w:rPr>
          <w:rStyle w:val="CharStyle23"/>
        </w:rPr>
        <w:t>«...</w:t>
      </w:r>
      <w:r>
        <w:rPr>
          <w:rStyle w:val="CharStyle24"/>
          <w:lang w:val="ru-RU" w:eastAsia="ru-RU" w:bidi="ru-RU"/>
        </w:rPr>
        <w:tab/>
      </w:r>
    </w:p>
    <w:tbl>
      <w:tblPr>
        <w:tblOverlap w:val="never"/>
        <w:tblLayout w:type="fixed"/>
        <w:jc w:val="center"/>
      </w:tblPr>
      <w:tblGrid>
        <w:gridCol w:w="590"/>
        <w:gridCol w:w="1406"/>
        <w:gridCol w:w="1843"/>
        <w:gridCol w:w="1786"/>
        <w:gridCol w:w="850"/>
        <w:gridCol w:w="1138"/>
        <w:gridCol w:w="1272"/>
        <w:gridCol w:w="1301"/>
      </w:tblGrid>
      <w:tr>
        <w:trPr>
          <w:trHeight w:val="1157" w:hRule="exact"/>
        </w:trPr>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УСТАНОВЛЕННЫЕ ЗАКАЗЧИКОМ ТРЕБОВАНИЯ К МАТЕРИАЛАМ (ТОВАРАМ)</w:t>
            </w:r>
          </w:p>
        </w:tc>
        <w:tc>
          <w:tcPr>
            <w:shd w:val="clear" w:color="auto" w:fill="FFFFFF"/>
            <w:gridSpan w:val="2"/>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81" w:hRule="exact"/>
        </w:trPr>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5"/>
              </w:rPr>
              <w:t>№</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5"/>
              </w:rPr>
              <w:t>п/п</w:t>
            </w: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60" w:line="150" w:lineRule="exact"/>
              <w:ind w:left="120" w:right="0" w:firstLine="0"/>
            </w:pPr>
            <w:r>
              <w:rPr>
                <w:rStyle w:val="CharStyle25"/>
              </w:rPr>
              <w:t>Наименование</w:t>
            </w:r>
          </w:p>
          <w:p>
            <w:pPr>
              <w:pStyle w:val="Style7"/>
              <w:framePr w:w="10186" w:wrap="notBeside" w:vAnchor="text" w:hAnchor="text" w:xAlign="center" w:y="1"/>
              <w:widowControl w:val="0"/>
              <w:keepNext w:val="0"/>
              <w:keepLines w:val="0"/>
              <w:shd w:val="clear" w:color="auto" w:fill="auto"/>
              <w:bidi w:val="0"/>
              <w:jc w:val="left"/>
              <w:spacing w:before="60" w:after="0" w:line="150" w:lineRule="exact"/>
              <w:ind w:left="120" w:right="0" w:firstLine="0"/>
            </w:pPr>
            <w:r>
              <w:rPr>
                <w:rStyle w:val="CharStyle25"/>
              </w:rPr>
              <w:t>товаров</w:t>
            </w:r>
          </w:p>
        </w:tc>
        <w:tc>
          <w:tcPr>
            <w:shd w:val="clear" w:color="auto" w:fill="FFFFFF"/>
            <w:gridSpan w:val="3"/>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Параметры эквивалентности</w:t>
            </w:r>
          </w:p>
        </w:tc>
        <w:tc>
          <w:tcPr>
            <w:shd w:val="clear" w:color="auto" w:fill="FFFFFF"/>
            <w:vMerge w:val="restart"/>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Конкретные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торговые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марки и</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модели (их</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словесные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обозначения)</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предлагаемог</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о для</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поставки</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товара.</w:t>
            </w: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5"/>
              </w:rPr>
              <w:t>Конкретные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5"/>
              </w:rPr>
              <w:t>показатели</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5"/>
              </w:rPr>
              <w:t>предлагаемого</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5"/>
              </w:rPr>
              <w:t>товара,</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5"/>
              </w:rPr>
              <w:t>соответствующ ие параметрам эквивалентнос ти.</w:t>
            </w:r>
          </w:p>
        </w:tc>
        <w:tc>
          <w:tcPr>
            <w:shd w:val="clear" w:color="auto" w:fill="FFFFFF"/>
            <w:tcBorders>
              <w:left w:val="single" w:sz="4"/>
              <w:righ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Страна</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происхождения</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товара:</w:t>
            </w:r>
          </w:p>
        </w:tc>
      </w:tr>
      <w:tr>
        <w:trPr>
          <w:trHeight w:val="1277" w:hRule="exact"/>
        </w:trPr>
        <w:tc>
          <w:tcPr>
            <w:shd w:val="clear" w:color="auto" w:fill="FFFFFF"/>
            <w:vMerge/>
            <w:tcBorders>
              <w:left w:val="single" w:sz="4"/>
            </w:tcBorders>
            <w:vAlign w:val="center"/>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Требуемый параметр</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5"/>
              </w:rPr>
              <w:t>Требуемое значение</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Ед. изм.</w:t>
            </w:r>
          </w:p>
        </w:tc>
        <w:tc>
          <w:tcPr>
            <w:shd w:val="clear" w:color="auto" w:fill="FFFFFF"/>
            <w:vMerge/>
            <w:tcBorders>
              <w:left w:val="single" w:sz="4"/>
            </w:tcBorders>
            <w:vAlign w:val="bottom"/>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righ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(название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страны</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происхождения</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товара)</w:t>
            </w:r>
          </w:p>
        </w:tc>
      </w:tr>
      <w:tr>
        <w:trPr>
          <w:trHeight w:val="197" w:hRule="exact"/>
        </w:trPr>
        <w:tc>
          <w:tcPr>
            <w:shd w:val="clear" w:color="auto" w:fill="FFFFFF"/>
            <w:vMerge w:val="restart"/>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Болты и гайки высокопрочные ГОСТ Р 52643</w:t>
              <w:softHyphen/>
              <w:t>2006</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Временное</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сопротивление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5"/>
              </w:rPr>
              <w:t>Должно быть от 800* до 1519*</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Н/мм2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Твердость по Бринеллю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5"/>
              </w:rPr>
              <w:t>Должна быть от 242* до 415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НВ</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Относительное сужение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both"/>
              <w:spacing w:before="0" w:after="0" w:line="187" w:lineRule="exact"/>
              <w:ind w:left="0" w:right="0" w:firstLine="0"/>
            </w:pPr>
            <w:r>
              <w:rPr>
                <w:rStyle w:val="CharStyle25"/>
              </w:rPr>
              <w:t>Должно быть не менее 35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Относительное удлинение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5"/>
              </w:rPr>
              <w:t>Должно быть не менее 8</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Ударная вязкость болтов</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5"/>
              </w:rPr>
              <w:t>Должна быть от 49*</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Дж/см2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val="restart"/>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Щебень ГОСТ 8267-93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Содержание глины в комках</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5"/>
              </w:rPr>
              <w:t>Не должно быть &gt; 0,2</w:t>
            </w: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 по массе</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418" w:hRule="exact"/>
        </w:trPr>
        <w:tc>
          <w:tcPr>
            <w:shd w:val="clear" w:color="auto" w:fill="FFFFFF"/>
            <w:vMerge/>
            <w:tcBorders>
              <w:left w:val="single" w:sz="4"/>
              <w:bottom w:val="single" w:sz="4"/>
            </w:tcBorders>
            <w:vAlign w:val="top"/>
          </w:tcPr>
          <w:p>
            <w:pPr>
              <w:framePr w:w="10186" w:wrap="notBeside" w:vAnchor="text" w:hAnchor="text" w:xAlign="center" w:y="1"/>
            </w:pPr>
          </w:p>
        </w:tc>
        <w:tc>
          <w:tcPr>
            <w:shd w:val="clear" w:color="auto" w:fill="FFFFFF"/>
            <w:vMerge/>
            <w:tcBorders>
              <w:left w:val="single" w:sz="4"/>
              <w:bottom w:val="single" w:sz="4"/>
            </w:tcBorders>
            <w:vAlign w:val="center"/>
          </w:tcPr>
          <w:p>
            <w:pPr>
              <w:framePr w:w="10186" w:wrap="notBeside" w:vAnchor="text" w:hAnchor="text" w:xAlign="center" w:y="1"/>
            </w:pPr>
          </w:p>
        </w:tc>
        <w:tc>
          <w:tcPr>
            <w:shd w:val="clear" w:color="auto" w:fill="FFFFFF"/>
            <w:tcBorders>
              <w:left w:val="single" w:sz="4"/>
              <w:top w:val="single" w:sz="4"/>
              <w:bottom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Средняя плотность зерен</w:t>
            </w:r>
          </w:p>
        </w:tc>
        <w:tc>
          <w:tcPr>
            <w:shd w:val="clear" w:color="auto" w:fill="FFFFFF"/>
            <w:tcBorders>
              <w:left w:val="single" w:sz="4"/>
              <w:top w:val="single" w:sz="4"/>
              <w:bottom w:val="single" w:sz="4"/>
            </w:tcBorders>
            <w:vAlign w:val="top"/>
          </w:tcPr>
          <w:p>
            <w:pPr>
              <w:pStyle w:val="Style7"/>
              <w:framePr w:w="10186" w:wrap="notBeside" w:vAnchor="text" w:hAnchor="text" w:xAlign="center" w:y="1"/>
              <w:widowControl w:val="0"/>
              <w:keepNext w:val="0"/>
              <w:keepLines w:val="0"/>
              <w:shd w:val="clear" w:color="auto" w:fill="auto"/>
              <w:bidi w:val="0"/>
              <w:jc w:val="both"/>
              <w:spacing w:before="0" w:after="0" w:line="187" w:lineRule="exact"/>
              <w:ind w:left="0" w:right="0" w:firstLine="0"/>
            </w:pPr>
            <w:r>
              <w:rPr>
                <w:rStyle w:val="CharStyle25"/>
              </w:rPr>
              <w:t>Должна быть от 2,0 до 2,4</w:t>
            </w:r>
          </w:p>
        </w:tc>
        <w:tc>
          <w:tcPr>
            <w:shd w:val="clear" w:color="auto" w:fill="FFFFFF"/>
            <w:tcBorders>
              <w:left w:val="single" w:sz="4"/>
              <w:top w:val="single" w:sz="4"/>
              <w:bottom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г/см3</w:t>
            </w: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186"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90"/>
        <w:gridCol w:w="1406"/>
        <w:gridCol w:w="1843"/>
        <w:gridCol w:w="1786"/>
        <w:gridCol w:w="850"/>
        <w:gridCol w:w="1138"/>
        <w:gridCol w:w="1272"/>
        <w:gridCol w:w="1301"/>
      </w:tblGrid>
      <w:tr>
        <w:trPr>
          <w:trHeight w:val="235" w:hRule="exact"/>
        </w:trPr>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val="restart"/>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Болты и гайки высокопрочные ГОСТ Р 52643</w:t>
              <w:softHyphen/>
              <w:t>2006</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Временное</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сопротивление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Должно быть от 800* до 1275*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Н/мм2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Твердость по Бринеллю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Должна быть от 242* до 415*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НВ</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Относительное сужение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Должно быть не менее 35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Относительное удлинение болтов</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Должно быть не менее 8</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Ударная вязкость болтов</w:t>
            </w: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Должна быть не менее 49</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Дж/см2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val="restart"/>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Камни бетонные бортовые ГОСТ 6665-91 ГОСТ 26633</w:t>
              <w:softHyphen/>
              <w:t>2012</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ГОСТ 8736-2014 ГОСТ 8267-93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Параметр</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воздухопроницаемости бетона ас</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Не более 0,223</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см3/с</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Плотность бетона камней</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более 2100</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кг/м3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 xml:space="preserve">Сопротивление бетона прониканию воздуха </w:t>
            </w:r>
            <w:r>
              <w:rPr>
                <w:rStyle w:val="CharStyle25"/>
                <w:lang w:val="en-US" w:eastAsia="en-US" w:bidi="en-US"/>
              </w:rPr>
              <w:t>mc</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От 4,5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с/см3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Предел прочности при изгибе в возрасте 28 суток</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Не должен быть &lt;5,4 (55)</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МПа</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(кгс/см2)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Предел прочности при сжатии в возрасте 28 суток</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&gt;29,4 (300)</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МПа</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(кгс/см2)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5"/>
              </w:rPr>
              <w:t>6.</w:t>
            </w: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Песок</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ГОСТ 8736-2014</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center"/>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Истинная плотность зерен</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2,0-2,8</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г/см3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Содержание глины в комках и пылевидных и глинистых частиц</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&lt; 10</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 по массе</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Генетический тип пород (только для песка из отсевов дробления)</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Осадочные;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изверженные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эффузивные;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изверженные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интрузивные;</w:t>
            </w:r>
          </w:p>
          <w:p>
            <w:pPr>
              <w:pStyle w:val="Style7"/>
              <w:framePr w:w="101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метаморфические</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center"/>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val="restart"/>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60" w:line="150" w:lineRule="exact"/>
              <w:ind w:left="120" w:right="0" w:firstLine="0"/>
            </w:pPr>
            <w:r>
              <w:rPr>
                <w:rStyle w:val="CharStyle25"/>
              </w:rPr>
              <w:t>Элементы</w:t>
            </w:r>
          </w:p>
          <w:p>
            <w:pPr>
              <w:pStyle w:val="Style7"/>
              <w:framePr w:w="10186" w:wrap="notBeside" w:vAnchor="text" w:hAnchor="text" w:xAlign="center" w:y="1"/>
              <w:widowControl w:val="0"/>
              <w:keepNext w:val="0"/>
              <w:keepLines w:val="0"/>
              <w:shd w:val="clear" w:color="auto" w:fill="auto"/>
              <w:bidi w:val="0"/>
              <w:jc w:val="left"/>
              <w:spacing w:before="60" w:after="0" w:line="150" w:lineRule="exact"/>
              <w:ind w:left="120" w:right="0" w:firstLine="0"/>
            </w:pPr>
            <w:r>
              <w:rPr>
                <w:rStyle w:val="CharStyle25"/>
              </w:rPr>
              <w:t>ограждения</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Плотность стали</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7,85</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г/см3</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384"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 xml:space="preserve">Момент инерции </w:t>
            </w:r>
            <w:r>
              <w:rPr>
                <w:rStyle w:val="CharStyle25"/>
                <w:lang w:val="en-US" w:eastAsia="en-US" w:bidi="en-US"/>
              </w:rPr>
              <w:t xml:space="preserve">Ix </w:t>
            </w:r>
            <w:r>
              <w:rPr>
                <w:rStyle w:val="CharStyle25"/>
              </w:rPr>
              <w:t>=</w:t>
            </w:r>
          </w:p>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lang w:val="en-US" w:eastAsia="en-US" w:bidi="en-US"/>
              </w:rPr>
              <w:t>Iy</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Должен быть &lt;13,96</w:t>
            </w:r>
          </w:p>
        </w:tc>
        <w:tc>
          <w:tcPr>
            <w:shd w:val="clear" w:color="auto" w:fill="FFFFFF"/>
            <w:tcBorders>
              <w:left w:val="single" w:sz="4"/>
              <w:top w:val="single" w:sz="4"/>
            </w:tcBorders>
            <w:vAlign w:val="center"/>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см4</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Масса 1 м</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Не более5,92</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кг</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02"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Толщина стенки</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Не менее 2,0</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мм</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Площадь сечения</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Должна быть до 8</w:t>
            </w:r>
          </w:p>
        </w:tc>
        <w:tc>
          <w:tcPr>
            <w:shd w:val="clear" w:color="auto" w:fill="FFFFFF"/>
            <w:tcBorders>
              <w:left w:val="single" w:sz="4"/>
              <w:top w:val="single" w:sz="4"/>
            </w:tcBorders>
            <w:vAlign w:val="bottom"/>
          </w:tcPr>
          <w:p>
            <w:pPr>
              <w:pStyle w:val="Style7"/>
              <w:framePr w:w="10186"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5"/>
              </w:rPr>
              <w:t>см2</w:t>
            </w: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186" w:wrap="notBeside" w:vAnchor="text" w:hAnchor="text" w:xAlign="center" w:y="1"/>
            </w:pPr>
          </w:p>
        </w:tc>
        <w:tc>
          <w:tcPr>
            <w:shd w:val="clear" w:color="auto" w:fill="FFFFFF"/>
            <w:vMerge/>
            <w:tcBorders>
              <w:left w:val="single" w:sz="4"/>
            </w:tcBorders>
            <w:vAlign w:val="center"/>
          </w:tcPr>
          <w:p>
            <w:pPr>
              <w:framePr w:w="10186" w:wrap="notBeside" w:vAnchor="text" w:hAnchor="text" w:xAlign="center" w:y="1"/>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86" w:wrap="notBeside" w:vAnchor="text" w:hAnchor="text" w:xAlign="center" w:y="1"/>
              <w:widowControl w:val="0"/>
              <w:rPr>
                <w:sz w:val="10"/>
                <w:szCs w:val="10"/>
              </w:rPr>
            </w:pPr>
          </w:p>
        </w:tc>
      </w:tr>
      <w:tr>
        <w:trPr>
          <w:trHeight w:val="240" w:hRule="exact"/>
        </w:trPr>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18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186"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0" w:right="0" w:firstLine="860"/>
      </w:pPr>
      <w:r>
        <w:rPr>
          <w:rStyle w:val="CharStyle26"/>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60"/>
        <w:ind w:left="20" w:right="20" w:firstLine="84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numPr>
          <w:ilvl w:val="0"/>
          <w:numId w:val="9"/>
        </w:numPr>
        <w:tabs>
          <w:tab w:leader="none" w:pos="1221" w:val="left"/>
        </w:tabs>
        <w:widowControl w:val="0"/>
        <w:keepNext w:val="0"/>
        <w:keepLines w:val="0"/>
        <w:shd w:val="clear" w:color="auto" w:fill="auto"/>
        <w:bidi w:val="0"/>
        <w:jc w:val="both"/>
        <w:spacing w:before="0" w:after="60"/>
        <w:ind w:left="20" w:right="20" w:firstLine="84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455" w:val="left"/>
        </w:tabs>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сносу (демонтажу) незаконных строений,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w:t>
      </w:r>
    </w:p>
    <w:p>
      <w:pPr>
        <w:pStyle w:val="Style7"/>
        <w:widowControl w:val="0"/>
        <w:keepNext w:val="0"/>
        <w:keepLines w:val="0"/>
        <w:shd w:val="clear" w:color="auto" w:fill="auto"/>
        <w:bidi w:val="0"/>
        <w:jc w:val="both"/>
        <w:spacing w:before="0" w:after="0"/>
        <w:ind w:left="20" w:right="120" w:firstLine="0"/>
      </w:pPr>
      <w:r>
        <w:rPr>
          <w:lang w:val="ru-RU" w:eastAsia="ru-RU" w:bidi="ru-RU"/>
          <w:w w:val="100"/>
          <w:spacing w:val="0"/>
          <w:color w:val="000000"/>
          <w:position w:val="0"/>
        </w:rPr>
        <w:t>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tabs>
          <w:tab w:leader="none" w:pos="1258" w:val="left"/>
        </w:tabs>
        <w:widowControl w:val="0"/>
        <w:keepNext w:val="0"/>
        <w:keepLines w:val="0"/>
        <w:shd w:val="clear" w:color="auto" w:fill="auto"/>
        <w:bidi w:val="0"/>
        <w:jc w:val="both"/>
        <w:spacing w:before="0" w:after="0"/>
        <w:ind w:left="20" w:right="1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1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0"/>
        <w:framePr w:w="10330" w:wrap="notBeside" w:vAnchor="text" w:hAnchor="text" w:xAlign="center" w:y="1"/>
        <w:tabs>
          <w:tab w:leader="underscore" w:pos="10229"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в редакции от 10.11.2017 установлено следующие требования о соответствии товаров, </w:t>
      </w:r>
      <w:r>
        <w:rPr>
          <w:rStyle w:val="CharStyle22"/>
        </w:rPr>
        <w:t xml:space="preserve">используемых при выполнении работ: </w:t>
      </w:r>
      <w:r>
        <w:rPr>
          <w:rStyle w:val="CharStyle23"/>
        </w:rPr>
        <w:t>«...</w:t>
      </w:r>
      <w:r>
        <w:rPr>
          <w:rStyle w:val="CharStyle24"/>
          <w:lang w:val="ru-RU" w:eastAsia="ru-RU" w:bidi="ru-RU"/>
        </w:rPr>
        <w:tab/>
      </w:r>
    </w:p>
    <w:tbl>
      <w:tblPr>
        <w:tblOverlap w:val="never"/>
        <w:tblLayout w:type="fixed"/>
        <w:jc w:val="center"/>
      </w:tblPr>
      <w:tblGrid>
        <w:gridCol w:w="715"/>
        <w:gridCol w:w="2462"/>
        <w:gridCol w:w="7152"/>
      </w:tblGrid>
      <w:tr>
        <w:trPr>
          <w:trHeight w:val="528"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60" w:line="210" w:lineRule="exact"/>
              <w:ind w:left="0" w:right="0" w:firstLine="0"/>
            </w:pPr>
            <w:r>
              <w:rPr>
                <w:rStyle w:val="CharStyle27"/>
              </w:rPr>
              <w:t>№</w:t>
            </w:r>
          </w:p>
          <w:p>
            <w:pPr>
              <w:pStyle w:val="Style7"/>
              <w:framePr w:w="10330" w:wrap="notBeside" w:vAnchor="text" w:hAnchor="text" w:xAlign="center" w:y="1"/>
              <w:widowControl w:val="0"/>
              <w:keepNext w:val="0"/>
              <w:keepLines w:val="0"/>
              <w:shd w:val="clear" w:color="auto" w:fill="auto"/>
              <w:bidi w:val="0"/>
              <w:jc w:val="center"/>
              <w:spacing w:before="60" w:after="0" w:line="210" w:lineRule="exact"/>
              <w:ind w:left="0" w:right="0" w:firstLine="0"/>
            </w:pPr>
            <w:r>
              <w:rPr>
                <w:rStyle w:val="CharStyle27"/>
              </w:rPr>
              <w:t>п/п</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Наименование товара</w:t>
            </w:r>
          </w:p>
        </w:tc>
        <w:tc>
          <w:tcPr>
            <w:shd w:val="clear" w:color="auto" w:fill="FFFFFF"/>
            <w:tcBorders>
              <w:left w:val="single" w:sz="4"/>
              <w:righ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Требования к товарам</w:t>
            </w:r>
          </w:p>
        </w:tc>
      </w:tr>
      <w:tr>
        <w:trPr>
          <w:trHeight w:val="26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1</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2</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3</w:t>
            </w:r>
          </w:p>
        </w:tc>
      </w:tr>
      <w:tr>
        <w:trPr>
          <w:trHeight w:val="2539"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right"/>
              <w:spacing w:before="0" w:after="0" w:line="210" w:lineRule="exact"/>
              <w:ind w:left="0" w:right="260" w:firstLine="0"/>
            </w:pPr>
            <w:r>
              <w:rPr>
                <w:rStyle w:val="CharStyle27"/>
              </w:rPr>
              <w:t>1.</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Щебень тип 1.</w:t>
            </w:r>
          </w:p>
        </w:tc>
        <w:tc>
          <w:tcPr>
            <w:shd w:val="clear" w:color="auto" w:fill="FFFFFF"/>
            <w:tcBorders>
              <w:left w:val="single" w:sz="4"/>
              <w:righ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Полный остаток на контрольном сите с диаметром отверстий равным наименьшему номинальному размеру зерен — в диапазоне конкретных значений с нижним пределом не менее 90 и с верхним пределом не более</w:t>
            </w:r>
          </w:p>
          <w:p>
            <w:pPr>
              <w:pStyle w:val="Style7"/>
              <w:framePr w:w="10330" w:wrap="notBeside" w:vAnchor="text" w:hAnchor="text" w:xAlign="center" w:y="1"/>
              <w:widowControl w:val="0"/>
              <w:keepNext w:val="0"/>
              <w:keepLines w:val="0"/>
              <w:shd w:val="clear" w:color="auto" w:fill="auto"/>
              <w:bidi w:val="0"/>
              <w:jc w:val="center"/>
              <w:spacing w:before="0" w:after="180" w:line="254" w:lineRule="exact"/>
              <w:ind w:left="0" w:right="0" w:firstLine="0"/>
            </w:pPr>
            <w:r>
              <w:rPr>
                <w:rStyle w:val="CharStyle27"/>
              </w:rPr>
              <w:t>100 % по массе.</w:t>
            </w:r>
          </w:p>
          <w:p>
            <w:pPr>
              <w:pStyle w:val="Style7"/>
              <w:framePr w:w="10330" w:wrap="notBeside" w:vAnchor="text" w:hAnchor="text" w:xAlign="center" w:y="1"/>
              <w:widowControl w:val="0"/>
              <w:keepNext w:val="0"/>
              <w:keepLines w:val="0"/>
              <w:shd w:val="clear" w:color="auto" w:fill="auto"/>
              <w:bidi w:val="0"/>
              <w:jc w:val="center"/>
              <w:spacing w:before="180" w:after="0" w:line="254" w:lineRule="exact"/>
              <w:ind w:left="0" w:right="0" w:firstLine="0"/>
            </w:pPr>
            <w:r>
              <w:rPr>
                <w:rStyle w:val="CharStyle27"/>
              </w:rPr>
              <w:t>Полный остаток на контрольном сите с диаметром отверстий равным полусумме наименьшего и наибольшего номинальных размеров зерен — в диапазоне конкретных значений с нижним пределом &gt; 30 и с верхним пределом не более 60 % по массе.</w:t>
            </w:r>
          </w:p>
        </w:tc>
      </w:tr>
      <w:tr>
        <w:trPr>
          <w:trHeight w:val="514"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2.</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Смесь сухая.</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Жизнеспособность раствора — &gt; 120 мин.</w:t>
            </w:r>
          </w:p>
        </w:tc>
      </w:tr>
      <w:tr>
        <w:trPr>
          <w:trHeight w:val="1022"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3.</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Плитка.</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 xml:space="preserve">Марка бетона по морозостойкости — не менее </w:t>
            </w:r>
            <w:r>
              <w:rPr>
                <w:rStyle w:val="CharStyle27"/>
                <w:lang w:val="en-US" w:eastAsia="en-US" w:bidi="en-US"/>
              </w:rPr>
              <w:t xml:space="preserve">F200. </w:t>
            </w:r>
            <w:r>
              <w:rPr>
                <w:rStyle w:val="CharStyle27"/>
              </w:rPr>
              <w:t>Класс прочности бетона на сжатие — не менее В30.</w:t>
            </w:r>
          </w:p>
        </w:tc>
      </w:tr>
      <w:tr>
        <w:trPr>
          <w:trHeight w:val="274" w:hRule="exact"/>
        </w:trPr>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30"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15"/>
        <w:gridCol w:w="2462"/>
        <w:gridCol w:w="7152"/>
      </w:tblGrid>
      <w:tr>
        <w:trPr>
          <w:trHeight w:val="1027"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7"/>
              </w:rPr>
              <w:t>5.</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Камень бортовой тип 1.</w:t>
            </w:r>
          </w:p>
        </w:tc>
        <w:tc>
          <w:tcPr>
            <w:shd w:val="clear" w:color="auto" w:fill="FFFFFF"/>
            <w:tcBorders>
              <w:left w:val="single" w:sz="4"/>
              <w:righ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Категория нелицевых бетонных поверхностей — А7.</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Класс бетона по прочности на сжатие — В30.</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Тип заполнителя — плотный крупный и мелкий или плотный мелкий.</w:t>
            </w:r>
          </w:p>
        </w:tc>
      </w:tr>
      <w:tr>
        <w:trPr>
          <w:trHeight w:val="264"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2794"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right"/>
              <w:spacing w:before="0" w:after="0" w:line="210" w:lineRule="exact"/>
              <w:ind w:left="0" w:right="260" w:firstLine="0"/>
            </w:pPr>
            <w:r>
              <w:rPr>
                <w:rStyle w:val="CharStyle27"/>
              </w:rPr>
              <w:t>8.</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Бетон.</w:t>
            </w:r>
          </w:p>
        </w:tc>
        <w:tc>
          <w:tcPr>
            <w:shd w:val="clear" w:color="auto" w:fill="FFFFFF"/>
            <w:tcBorders>
              <w:left w:val="single" w:sz="4"/>
              <w:righ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Группа мелкого заполнителя — повышенной крупности либо крупная.</w:t>
            </w:r>
          </w:p>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Средняя плотность крупного заполнителя — в диапазоне конкретных значений с нижним пределом &gt; 2000 и с верхним пределом &lt; 3000 кг/м</w:t>
            </w:r>
            <w:r>
              <w:rPr>
                <w:rStyle w:val="CharStyle27"/>
                <w:vertAlign w:val="superscript"/>
              </w:rPr>
              <w:t>3</w:t>
            </w:r>
            <w:r>
              <w:rPr>
                <w:rStyle w:val="CharStyle27"/>
              </w:rPr>
              <w:t>.</w:t>
            </w:r>
          </w:p>
          <w:p>
            <w:pPr>
              <w:pStyle w:val="Style7"/>
              <w:framePr w:w="10330" w:wrap="notBeside" w:vAnchor="text" w:hAnchor="text" w:xAlign="center" w:y="1"/>
              <w:widowControl w:val="0"/>
              <w:keepNext w:val="0"/>
              <w:keepLines w:val="0"/>
              <w:shd w:val="clear" w:color="auto" w:fill="auto"/>
              <w:bidi w:val="0"/>
              <w:jc w:val="center"/>
              <w:spacing w:before="0" w:after="180" w:line="254" w:lineRule="exact"/>
              <w:ind w:left="0" w:right="0" w:firstLine="0"/>
            </w:pPr>
            <w:r>
              <w:rPr>
                <w:rStyle w:val="CharStyle27"/>
              </w:rPr>
              <w:t>Класс мелкого заполнителя — I или II.</w:t>
            </w:r>
          </w:p>
          <w:p>
            <w:pPr>
              <w:pStyle w:val="Style7"/>
              <w:framePr w:w="10330" w:wrap="notBeside" w:vAnchor="text" w:hAnchor="text" w:xAlign="center" w:y="1"/>
              <w:widowControl w:val="0"/>
              <w:keepNext w:val="0"/>
              <w:keepLines w:val="0"/>
              <w:shd w:val="clear" w:color="auto" w:fill="auto"/>
              <w:bidi w:val="0"/>
              <w:jc w:val="center"/>
              <w:spacing w:before="180" w:after="0" w:line="250" w:lineRule="exact"/>
              <w:ind w:left="0" w:right="0" w:firstLine="0"/>
            </w:pPr>
            <w:r>
              <w:rPr>
                <w:rStyle w:val="CharStyle27"/>
              </w:rPr>
              <w:t>Истинная плотность мелкого заполнителя — в диапазоне конкретных значений с нижним пределом &gt; 2000 и с верхним пределом &lt; 2800 кг/м3.</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Модуль крупности мелкого заполнителя — в диапазоне конкретных значений с нижним пределом свыше 2,5 и с верхним пределом не более</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3,5.</w:t>
            </w:r>
          </w:p>
        </w:tc>
      </w:tr>
      <w:tr>
        <w:trPr>
          <w:trHeight w:val="259"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806"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7"/>
              </w:rPr>
              <w:t>16.</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Щебень тип 2.</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Полный остаток на контрольном сите с диаметром отверстий равным наименьшему номинальному размеру зерен — в диапазоне конкретных значений с нижним пределом не менее 90 и с верхним пределом не более</w:t>
            </w:r>
          </w:p>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100 % по массе.</w:t>
            </w:r>
          </w:p>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Содержание глины в комках — не более 0,25 % по массе.</w:t>
            </w:r>
          </w:p>
          <w:p>
            <w:pPr>
              <w:pStyle w:val="Style7"/>
              <w:framePr w:w="1033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Содержание зерен слабых пород — не более 10 % по массе.</w:t>
            </w:r>
          </w:p>
          <w:p>
            <w:pPr>
              <w:pStyle w:val="Style7"/>
              <w:framePr w:w="10330"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27"/>
              </w:rPr>
              <w:t>Содержание дробленых зерен в щебне — не менее 80 % по массе. Содержание пылевидных и глинистых частиц — не более 2 % по массе.</w:t>
            </w:r>
          </w:p>
          <w:p>
            <w:pPr>
              <w:pStyle w:val="Style7"/>
              <w:framePr w:w="10330" w:wrap="notBeside" w:vAnchor="text" w:hAnchor="text" w:xAlign="center" w:y="1"/>
              <w:widowControl w:val="0"/>
              <w:keepNext w:val="0"/>
              <w:keepLines w:val="0"/>
              <w:shd w:val="clear" w:color="auto" w:fill="auto"/>
              <w:bidi w:val="0"/>
              <w:jc w:val="center"/>
              <w:spacing w:before="0" w:after="180" w:line="254" w:lineRule="exact"/>
              <w:ind w:left="0" w:right="0" w:firstLine="0"/>
            </w:pPr>
            <w:r>
              <w:rPr>
                <w:rStyle w:val="CharStyle27"/>
              </w:rPr>
              <w:t>Полный остаток на контрольном сите с диаметром отверстий равным полусумме наименьшего и наибольшего номинальных размеров зерен — в диапазоне конкретных значений с нижним пределом &gt; 30 и с верхним пределом включительно до 60 % по массе.</w:t>
            </w:r>
          </w:p>
          <w:p>
            <w:pPr>
              <w:pStyle w:val="Style7"/>
              <w:framePr w:w="10330" w:wrap="notBeside" w:vAnchor="text" w:hAnchor="text" w:xAlign="center" w:y="1"/>
              <w:widowControl w:val="0"/>
              <w:keepNext w:val="0"/>
              <w:keepLines w:val="0"/>
              <w:shd w:val="clear" w:color="auto" w:fill="auto"/>
              <w:bidi w:val="0"/>
              <w:jc w:val="center"/>
              <w:spacing w:before="180" w:after="0" w:line="254" w:lineRule="exact"/>
              <w:ind w:left="0" w:right="0" w:firstLine="0"/>
            </w:pPr>
            <w:r>
              <w:rPr>
                <w:rStyle w:val="CharStyle27"/>
              </w:rPr>
              <w:t>Полный остаток на контрольном сите с диаметром отверстий равным наибольшему номинальному размеру зерен — не более 10 % по массе.</w:t>
            </w:r>
          </w:p>
        </w:tc>
      </w:tr>
      <w:tr>
        <w:trPr>
          <w:trHeight w:val="264"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768"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7"/>
              </w:rPr>
              <w:t>18.</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7"/>
              </w:rPr>
              <w:t>Камень бортовой тип 2.</w:t>
            </w:r>
          </w:p>
        </w:tc>
        <w:tc>
          <w:tcPr>
            <w:shd w:val="clear" w:color="auto" w:fill="FFFFFF"/>
            <w:tcBorders>
              <w:left w:val="single" w:sz="4"/>
              <w:righ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Класс бетона по прочности на сжатие — В22,5. Категория лицевой бетонной поверхности — А6.</w:t>
            </w:r>
          </w:p>
        </w:tc>
      </w:tr>
      <w:tr>
        <w:trPr>
          <w:trHeight w:val="264"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5078" w:hRule="exact"/>
        </w:trPr>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7"/>
              </w:rPr>
              <w:t>21.</w:t>
            </w:r>
          </w:p>
        </w:tc>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60" w:line="210" w:lineRule="exact"/>
              <w:ind w:left="0" w:right="0" w:firstLine="0"/>
            </w:pPr>
            <w:r>
              <w:rPr>
                <w:rStyle w:val="CharStyle27"/>
              </w:rPr>
              <w:t>Смесь</w:t>
            </w:r>
          </w:p>
          <w:p>
            <w:pPr>
              <w:pStyle w:val="Style7"/>
              <w:framePr w:w="10330" w:wrap="notBeside" w:vAnchor="text" w:hAnchor="text" w:xAlign="center" w:y="1"/>
              <w:widowControl w:val="0"/>
              <w:keepNext w:val="0"/>
              <w:keepLines w:val="0"/>
              <w:shd w:val="clear" w:color="auto" w:fill="auto"/>
              <w:bidi w:val="0"/>
              <w:jc w:val="center"/>
              <w:spacing w:before="60" w:after="0" w:line="210" w:lineRule="exact"/>
              <w:ind w:left="0" w:right="0" w:firstLine="0"/>
            </w:pPr>
            <w:r>
              <w:rPr>
                <w:rStyle w:val="CharStyle27"/>
              </w:rPr>
              <w:t>асфальтобетонная.</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Содержание зерен с размером не более 5 мм в асфальтобетонной смеси — в диапазоне конкретных значений с нижним пределом включительно от 70 и с верхним пределом включительно до 100 % по массе.</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Вид асфальтобетона в зависимости от величины остаточной пористости</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 плотный.</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Тип асфальтобетонной смеси в зависимости от вязкости используемого битума и температуры при укладке — горячий.</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Содержание зерен с размером не более 0,63 мм в асфальтобетонной смеси — в диапазоне конкретных значений с нижним пределом включительно от 30 и с верхним пределом включительно до 75 % по</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массе.</w:t>
            </w:r>
          </w:p>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7"/>
              </w:rPr>
              <w:t>Пористость минеральной части — не более 22 %. Содержание зерен с размером не более 0,315 мм в асфальтобетонной смеси — в диапазоне конкретных значений с нижним пределом не &lt; 20 и с верхним пределом &lt; 55 % по массе.</w:t>
            </w:r>
          </w:p>
          <w:p>
            <w:pPr>
              <w:pStyle w:val="Style7"/>
              <w:framePr w:w="10330" w:wrap="notBeside" w:vAnchor="text" w:hAnchor="text" w:xAlign="center" w:y="1"/>
              <w:widowControl w:val="0"/>
              <w:keepNext w:val="0"/>
              <w:keepLines w:val="0"/>
              <w:shd w:val="clear" w:color="auto" w:fill="auto"/>
              <w:bidi w:val="0"/>
              <w:jc w:val="center"/>
              <w:spacing w:before="0" w:after="180" w:line="250" w:lineRule="exact"/>
              <w:ind w:left="0" w:right="0" w:firstLine="0"/>
            </w:pPr>
            <w:r>
              <w:rPr>
                <w:rStyle w:val="CharStyle27"/>
              </w:rPr>
              <w:t>Содержание зерен с размером не более 0,16 мм в асфальтобетонной смеси — в диапазоне конкретных значений с нижним пределом не менее 15 и с верхним пределом не более 25 % по массе.</w:t>
            </w:r>
          </w:p>
          <w:p>
            <w:pPr>
              <w:pStyle w:val="Style7"/>
              <w:framePr w:w="10330" w:wrap="notBeside" w:vAnchor="text" w:hAnchor="text" w:xAlign="center" w:y="1"/>
              <w:widowControl w:val="0"/>
              <w:keepNext w:val="0"/>
              <w:keepLines w:val="0"/>
              <w:shd w:val="clear" w:color="auto" w:fill="auto"/>
              <w:bidi w:val="0"/>
              <w:jc w:val="center"/>
              <w:spacing w:before="180" w:after="0" w:line="210" w:lineRule="exact"/>
              <w:ind w:left="0" w:right="0" w:firstLine="0"/>
            </w:pPr>
            <w:r>
              <w:rPr>
                <w:rStyle w:val="CharStyle27"/>
              </w:rPr>
              <w:t>Содержание зерен с размером не более 1,25 мм в асфальтобетонной</w:t>
            </w:r>
          </w:p>
        </w:tc>
      </w:tr>
    </w:tbl>
    <w:p>
      <w:pPr>
        <w:widowControl w:val="0"/>
        <w:rPr>
          <w:sz w:val="2"/>
          <w:szCs w:val="2"/>
        </w:rPr>
      </w:pP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0" w:line="254" w:lineRule="exact"/>
        <w:ind w:left="0" w:right="20" w:firstLine="0"/>
      </w:pPr>
      <w:r>
        <w:rPr>
          <w:lang w:val="ru-RU" w:eastAsia="ru-RU" w:bidi="ru-RU"/>
          <w:w w:val="100"/>
          <w:spacing w:val="0"/>
          <w:color w:val="000000"/>
          <w:position w:val="0"/>
        </w:rPr>
        <w:t>смеси — в диапазоне конкретных значений с нижним пределом не менее 42 и с верхним пределом не более 85 % по массе.</w:t>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center"/>
        <w:spacing w:before="0" w:after="0" w:line="254" w:lineRule="exact"/>
        <w:ind w:left="0" w:right="20" w:firstLine="0"/>
      </w:pPr>
      <w:r>
        <w:rPr>
          <w:lang w:val="ru-RU" w:eastAsia="ru-RU" w:bidi="ru-RU"/>
          <w:w w:val="100"/>
          <w:spacing w:val="0"/>
          <w:color w:val="000000"/>
          <w:position w:val="0"/>
        </w:rPr>
        <w:t>Содержание зерен с размером не более 2,5 мм в асфальтобетонной смеси — в диапазоне конкретных значений с нижним пределом не менее 56 и с верхним пределом не более 93 % по массе.</w:t>
      </w:r>
    </w:p>
    <w:p>
      <w:pPr>
        <w:pStyle w:val="Style7"/>
        <w:widowControl w:val="0"/>
        <w:keepNext w:val="0"/>
        <w:keepLines w:val="0"/>
        <w:shd w:val="clear" w:color="auto" w:fill="auto"/>
        <w:bidi w:val="0"/>
        <w:jc w:val="both"/>
        <w:spacing w:before="0" w:after="0"/>
        <w:ind w:left="20" w:right="0" w:firstLine="860"/>
      </w:pPr>
      <w:r>
        <w:rPr>
          <w:rStyle w:val="CharStyle29"/>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numPr>
          <w:ilvl w:val="1"/>
          <w:numId w:val="13"/>
        </w:numPr>
        <w:tabs>
          <w:tab w:leader="none" w:pos="1422"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0"/>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0"/>
          <w:lang w:val="en-US" w:eastAsia="en-US" w:bidi="en-US"/>
        </w:rPr>
        <w:t xml:space="preserve">N </w:t>
      </w:r>
      <w:r>
        <w:rPr>
          <w:rStyle w:val="CharStyle30"/>
        </w:rPr>
        <w:t xml:space="preserve">570 и признании утратившим силу постановления Правительства Российской Федерации от 25 ноября 2013 г. </w:t>
      </w:r>
      <w:r>
        <w:rPr>
          <w:rStyle w:val="CharStyle30"/>
          <w:lang w:val="en-US" w:eastAsia="en-US" w:bidi="en-US"/>
        </w:rPr>
        <w:t xml:space="preserve">N </w:t>
      </w:r>
      <w:r>
        <w:rPr>
          <w:rStyle w:val="CharStyle30"/>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9"/>
        </w:numPr>
        <w:tabs>
          <w:tab w:leader="none" w:pos="1863" w:val="left"/>
          <w:tab w:leader="none" w:pos="3923"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 или ненадлежащего исполнения</w:t>
      </w:r>
    </w:p>
    <w:p>
      <w:pPr>
        <w:pStyle w:val="Style7"/>
        <w:tabs>
          <w:tab w:leader="none" w:pos="1863" w:val="left"/>
          <w:tab w:leader="none" w:pos="392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3" w:val="left"/>
          <w:tab w:leader="none" w:pos="3923"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разделе 7 «ОТВЕТСТВЕННОСТЬ СТОРОН. ОБСТОЯТЕЛЬСТВА НЕПРЕОДОЛИМОЙ СИЛЫ» проекта контракта Заказчик указал следующие сведения о размерах штрафов, пени за ненадлежащее исполнение обязательств по контракту: «.</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Стороны несут ответственность за неисполнение или ненадлежащее исполнение своих обязательств в соответствии с действующим законодательством.</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случае, если выявленные нарушения, недостатки в выполненных работах, не устранены в срок, предусмотренный разделом 5 настоящего контракта, либо, если выявленные недостатки в выполненных работах являются существенными или неустранимыми, заказчик вправе отказаться от исполнения настоящего муниципального контракта и потребовать возмещения убытков.</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w:t>
      </w:r>
    </w:p>
    <w:p>
      <w:pPr>
        <w:pStyle w:val="Style3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31"/>
        <w:numPr>
          <w:ilvl w:val="0"/>
          <w:numId w:val="15"/>
        </w:numPr>
        <w:tabs>
          <w:tab w:leader="underscore" w:pos="5875" w:val="center"/>
          <w:tab w:leader="none" w:pos="6303" w:val="left"/>
        </w:tabs>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За каждый факт неисполнения или ненадлежащего исполнения Подрядчиком (поставщиком,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w:t>
        <w:tab/>
        <w:t>рублей,</w:t>
        <w:tab/>
        <w:t>определяемой в следующем порядке:</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31"/>
        <w:numPr>
          <w:ilvl w:val="0"/>
          <w:numId w:val="15"/>
        </w:numPr>
        <w:tabs>
          <w:tab w:leader="underscore" w:pos="6749" w:val="right"/>
          <w:tab w:leader="none" w:pos="6894" w:val="left"/>
        </w:tabs>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w:t>
        <w:tab/>
        <w:t>рублей,</w:t>
        <w:tab/>
        <w:t>определяемой в следующем порядке:</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а) 1000 рублей, если цена контракта не превышает 3 млн. рублей;</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г) 100000 рублей, если цена контракта превышает 100 млн. рублей.</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31"/>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г) 100000 рублей, если цена контракта превышает 100 млн. рублей.</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Штрафные санкции уплачиваются Подрядчиком посредством перечисления взыскиваемых сумм в порядке и в сроки, указанные в претензии Заказчика с предоставлением Заказчику соответствующего подтверждения (копии платежного поручения) об уплате штрафных санкций в 2-дневный срок с момента оплаты Подрядчиком штрафных санкций.</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Подрядчик обязан по требованию Заказчика и в установленные Контрактом сроки безвозмездно устранять недостатки выполненных (выполняемых) работ.</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В случае привлечения Заказчика к административной ответственности и назначения административного наказания в виде штрафа, за несоблюдение в ходе выполнения работ правил и норм охраны труда и техники безопасности, противопожарной безопасности, охраны окружающей среды, Подрядчик возмещает в полном объеме штрафы и прочие убытки, возникшие в этой связи у Заказчика.</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При необеспечении надлежащей охраны материалов, оборудования, техники и иного имущества на территории производства работ от начала работ до их окончания и приемки Заказчиком объекта работ, Подрядчик возмещает утраченные материалы или убытки, причиненные недобросовестным хранением материалов и оборудования на объекте, за свой счет.</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Подрядчик несет ответственность за недостатки, обнаруженные в пределах гарантийного срока, течение которого начинается с даты подписания сторонами акта сдачи-приемки выполненных работ, если не докажет, что они произошли вследствие нормального износа объекта или его частей и неправильной эксплуатации объекта.</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При обнаружении дефектов Заказчик должен письменно известить об этом Подрядчика. Подрядчик направляет своего представителя в течение 2-х дней с даты получения извещения, а в случае выявления дефектов, ведущих к нарушению безопасности эксплуатации объекта и (или) убыткам- немедленно. Представители сторон составляют акт, фиксирующий дефекты, и согласовывают порядок и сроки их устранения. При отказе Подрядчика от составления и (или) подписания акта обнаруженных дефектов, Заказчик составляет односторонний акт, для чего в том числе имеет право привлечения независимых экспертов. Все расходы по оплате услуг экспертов при установлении наступления гарантийного случая несет Подрядчик.</w:t>
      </w:r>
    </w:p>
    <w:p>
      <w:pPr>
        <w:pStyle w:val="Style31"/>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Если подрядчик не обеспечивает устранение дефектов в установленные сроки, Заказчик вправе устранить выявленные дефекты собственными силами с последующим взысканием расходов с Подрядчика в соответствии и соблюдением требований законодательства РФ, или привлечь для выполнения этих работ другую организацию за счет Подрядчика.</w:t>
      </w:r>
    </w:p>
    <w:p>
      <w:pPr>
        <w:pStyle w:val="Style31"/>
        <w:numPr>
          <w:ilvl w:val="0"/>
          <w:numId w:val="1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Подрядчик несет всю ответственность за последствия дорожно-транспортных происшествий, связанных с необеспечением безопасности дорожного движения в местах производства работ, а также всю ответственность за причинение вреда физическим и юридическим лицам, если вред был причинен подрядчиком при проведении работ в рамках настоящего контракта.</w:t>
      </w:r>
      <w:r>
        <w:br w:type="page"/>
      </w:r>
    </w:p>
    <w:p>
      <w:pPr>
        <w:pStyle w:val="Style7"/>
        <w:widowControl w:val="0"/>
        <w:keepNext w:val="0"/>
        <w:keepLines w:val="0"/>
        <w:shd w:val="clear" w:color="auto" w:fill="auto"/>
        <w:bidi w:val="0"/>
        <w:jc w:val="left"/>
        <w:spacing w:before="0" w:after="0"/>
        <w:ind w:left="740" w:right="0" w:firstLine="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7"/>
        </w:numPr>
        <w:tabs>
          <w:tab w:leader="none" w:pos="1409" w:val="left"/>
        </w:tabs>
        <w:widowControl w:val="0"/>
        <w:keepNext w:val="0"/>
        <w:keepLines w:val="0"/>
        <w:shd w:val="clear" w:color="auto" w:fill="auto"/>
        <w:bidi w:val="0"/>
        <w:jc w:val="both"/>
        <w:spacing w:before="0" w:after="106" w:line="317" w:lineRule="exact"/>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2" w:line="260" w:lineRule="exact"/>
        <w:ind w:left="20" w:right="0" w:firstLine="0"/>
      </w:pPr>
      <w:r>
        <w:rPr>
          <w:lang w:val="ru-RU" w:eastAsia="ru-RU" w:bidi="ru-RU"/>
          <w:w w:val="100"/>
          <w:spacing w:val="0"/>
          <w:color w:val="000000"/>
          <w:position w:val="0"/>
        </w:rPr>
        <w:t>РЕШИЛА:</w:t>
      </w:r>
    </w:p>
    <w:p>
      <w:pPr>
        <w:pStyle w:val="Style7"/>
        <w:numPr>
          <w:ilvl w:val="0"/>
          <w:numId w:val="19"/>
        </w:numPr>
        <w:widowControl w:val="0"/>
        <w:keepNext w:val="0"/>
        <w:keepLines w:val="0"/>
        <w:shd w:val="clear" w:color="auto" w:fill="auto"/>
        <w:bidi w:val="0"/>
        <w:jc w:val="both"/>
        <w:spacing w:before="0" w:after="67"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9"/>
        </w:numPr>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 xml:space="preserve"> Признать Заказчика нарушившим требования частей 5, 7, 8 статьи 34, пункта 2 части 1 статьи 64, части 6 статьи 66 Закона о контрактной системе, пунктов 2-10 Правил от 30.08.2017 № 1042.</w:t>
      </w:r>
    </w:p>
    <w:p>
      <w:pPr>
        <w:pStyle w:val="Style7"/>
        <w:numPr>
          <w:ilvl w:val="0"/>
          <w:numId w:val="19"/>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9"/>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№06/4258-17 для рассмотрения вопроса о возбуждении дела об административном правонарушении.</w:t>
      </w:r>
    </w:p>
    <w:p>
      <w:pPr>
        <w:pStyle w:val="Style7"/>
        <w:numPr>
          <w:ilvl w:val="0"/>
          <w:numId w:val="19"/>
        </w:numPr>
        <w:widowControl w:val="0"/>
        <w:keepNext w:val="0"/>
        <w:keepLines w:val="0"/>
        <w:shd w:val="clear" w:color="auto" w:fill="auto"/>
        <w:bidi w:val="0"/>
        <w:jc w:val="both"/>
        <w:spacing w:before="0" w:after="60"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№06/12741.</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2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19" w:val="left"/>
        </w:tabs>
        <w:widowControl w:val="0"/>
        <w:keepNext w:val="0"/>
        <w:keepLines w:val="0"/>
        <w:shd w:val="clear" w:color="auto" w:fill="auto"/>
        <w:bidi w:val="0"/>
        <w:jc w:val="both"/>
        <w:spacing w:before="0" w:after="0" w:line="260" w:lineRule="exact"/>
        <w:ind w:left="5800" w:right="0" w:firstLine="0"/>
      </w:pPr>
      <w:r>
        <w:rPr>
          <w:lang w:val="ru-RU" w:eastAsia="ru-RU" w:bidi="ru-RU"/>
          <w:w w:val="100"/>
          <w:spacing w:val="0"/>
          <w:color w:val="000000"/>
          <w:position w:val="0"/>
        </w:rPr>
        <w:t>О.</w:t>
        <w:tab/>
        <w:t>А. Шалимова</w:t>
      </w:r>
      <w:r>
        <w:br w:type="page"/>
      </w:r>
    </w:p>
    <w:p>
      <w:pPr>
        <w:pStyle w:val="Style7"/>
        <w:numPr>
          <w:ilvl w:val="0"/>
          <w:numId w:val="21"/>
        </w:numPr>
        <w:widowControl w:val="0"/>
        <w:keepNext w:val="0"/>
        <w:keepLines w:val="0"/>
        <w:shd w:val="clear" w:color="auto" w:fill="auto"/>
        <w:bidi w:val="0"/>
        <w:jc w:val="left"/>
        <w:spacing w:before="0" w:after="0"/>
        <w:ind w:left="0" w:right="0" w:firstLine="2200"/>
      </w:pPr>
      <w:r>
        <w:rPr>
          <w:lang w:val="ru-RU" w:eastAsia="ru-RU" w:bidi="ru-RU"/>
          <w:w w:val="100"/>
          <w:spacing w:val="0"/>
          <w:color w:val="000000"/>
          <w:position w:val="0"/>
        </w:rPr>
        <w:t xml:space="preserve"> Заказчик:</w:t>
      </w:r>
    </w:p>
    <w:p>
      <w:pPr>
        <w:pStyle w:val="Style3"/>
        <w:framePr w:w="4893" w:h="3403" w:wrap="around" w:vAnchor="text" w:hAnchor="margin" w:x="23" w:y="463"/>
        <w:widowControl w:val="0"/>
        <w:keepNext w:val="0"/>
        <w:keepLines w:val="0"/>
        <w:shd w:val="clear" w:color="auto" w:fill="auto"/>
        <w:bidi w:val="0"/>
        <w:spacing w:before="0" w:after="173" w:line="274" w:lineRule="exact"/>
        <w:ind w:left="40" w:right="0" w:firstLine="0"/>
      </w:pPr>
      <w:r>
        <w:rPr>
          <w:rStyle w:val="CharStyle4"/>
          <w:b/>
          <w:bCs/>
        </w:rPr>
        <w:t>ФЕДЕРАЛЬНАЯ АНТИМОНОПОЛЬНАЯ СЛУЖБА</w:t>
      </w:r>
    </w:p>
    <w:p>
      <w:pPr>
        <w:pStyle w:val="Style3"/>
        <w:framePr w:w="4893" w:h="3403" w:wrap="around" w:vAnchor="text" w:hAnchor="margin" w:x="23" w:y="463"/>
        <w:widowControl w:val="0"/>
        <w:keepNext w:val="0"/>
        <w:keepLines w:val="0"/>
        <w:shd w:val="clear" w:color="auto" w:fill="auto"/>
        <w:bidi w:val="0"/>
        <w:spacing w:before="0" w:after="0" w:line="283" w:lineRule="exact"/>
        <w:ind w:left="40" w:right="0" w:firstLine="0"/>
      </w:pPr>
      <w:r>
        <w:rPr>
          <w:rStyle w:val="CharStyle4"/>
          <w:b/>
          <w:bCs/>
        </w:rPr>
        <w:t>УПРАВЛЕ</w:t>
      </w:r>
      <w:r>
        <w:rPr>
          <w:rStyle w:val="CharStyle11"/>
          <w:b/>
          <w:bCs/>
        </w:rPr>
        <w:t>НИ</w:t>
      </w:r>
      <w:r>
        <w:rPr>
          <w:rStyle w:val="CharStyle4"/>
          <w:b/>
          <w:bCs/>
        </w:rPr>
        <w:t>Е Федеральной антимонопольной службы по Республике Крым и городу Севастополю</w:t>
      </w:r>
    </w:p>
    <w:p>
      <w:pPr>
        <w:pStyle w:val="Style5"/>
        <w:framePr w:w="4893" w:h="3403" w:wrap="around" w:vAnchor="text" w:hAnchor="margin" w:x="23" w:y="463"/>
        <w:widowControl w:val="0"/>
        <w:keepNext w:val="0"/>
        <w:keepLines w:val="0"/>
        <w:shd w:val="clear" w:color="auto" w:fill="auto"/>
        <w:bidi w:val="0"/>
        <w:spacing w:before="0" w:after="254"/>
        <w:ind w:left="4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93" w:h="3403" w:wrap="around" w:vAnchor="text" w:hAnchor="margin" w:x="23" w:y="463"/>
        <w:widowControl w:val="0"/>
        <w:keepNext w:val="0"/>
        <w:keepLines w:val="0"/>
        <w:shd w:val="clear" w:color="auto" w:fill="auto"/>
        <w:bidi w:val="0"/>
        <w:jc w:val="left"/>
        <w:spacing w:before="0" w:after="260" w:line="240" w:lineRule="exact"/>
        <w:ind w:left="40" w:right="0" w:firstLine="0"/>
      </w:pPr>
      <w:r>
        <w:rPr>
          <w:rStyle w:val="CharStyle8"/>
          <w:spacing w:val="0"/>
        </w:rPr>
        <w:t>14.11.2017 № 06/13074</w:t>
      </w:r>
    </w:p>
    <w:p>
      <w:pPr>
        <w:pStyle w:val="Style9"/>
        <w:framePr w:w="4893" w:h="3403" w:wrap="around" w:vAnchor="text" w:hAnchor="margin" w:x="23" w:y="463"/>
        <w:widowControl w:val="0"/>
        <w:keepNext w:val="0"/>
        <w:keepLines w:val="0"/>
        <w:shd w:val="clear" w:color="auto" w:fill="auto"/>
        <w:bidi w:val="0"/>
        <w:jc w:val="left"/>
        <w:spacing w:before="0" w:after="0" w:line="200" w:lineRule="exact"/>
        <w:ind w:left="40" w:right="0" w:firstLine="0"/>
      </w:pPr>
      <w:r>
        <w:rPr>
          <w:rStyle w:val="CharStyle10"/>
        </w:rPr>
        <w:t>На № 0175300020917000009/1 от 08.11.2017</w:t>
      </w:r>
    </w:p>
    <w:p>
      <w:pPr>
        <w:pStyle w:val="Style7"/>
        <w:widowControl w:val="0"/>
        <w:keepNext w:val="0"/>
        <w:keepLines w:val="0"/>
        <w:shd w:val="clear" w:color="auto" w:fill="auto"/>
        <w:bidi w:val="0"/>
        <w:jc w:val="left"/>
        <w:spacing w:before="0" w:after="244"/>
        <w:ind w:left="0" w:right="0" w:firstLine="2200"/>
      </w:pPr>
      <w:r>
        <w:rPr>
          <w:lang w:val="ru-RU" w:eastAsia="ru-RU" w:bidi="ru-RU"/>
          <w:w w:val="100"/>
          <w:spacing w:val="0"/>
          <w:color w:val="000000"/>
          <w:position w:val="0"/>
        </w:rPr>
        <w:t>Департамент по вопросам жилищно - коммунального хозяйства Администрации города Ялты Республики Крым 298612, Республика Крым, г. Ялта, ул. Дзержинского, д. 4</w:t>
      </w:r>
    </w:p>
    <w:p>
      <w:pPr>
        <w:pStyle w:val="Style7"/>
        <w:numPr>
          <w:ilvl w:val="0"/>
          <w:numId w:val="21"/>
        </w:numPr>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ООО «АЛКОТЕК - ДОН»</w:t>
      </w:r>
    </w:p>
    <w:p>
      <w:pPr>
        <w:pStyle w:val="Style7"/>
        <w:widowControl w:val="0"/>
        <w:keepNext w:val="0"/>
        <w:keepLines w:val="0"/>
        <w:shd w:val="clear" w:color="auto" w:fill="auto"/>
        <w:bidi w:val="0"/>
        <w:jc w:val="left"/>
        <w:spacing w:before="0" w:after="286" w:line="317" w:lineRule="exact"/>
        <w:ind w:left="0" w:right="540" w:firstLine="0"/>
      </w:pPr>
      <w:r>
        <w:rPr>
          <w:lang w:val="ru-RU" w:eastAsia="ru-RU" w:bidi="ru-RU"/>
          <w:w w:val="100"/>
          <w:spacing w:val="0"/>
          <w:color w:val="000000"/>
          <w:position w:val="0"/>
        </w:rPr>
        <w:t>344082, г. Ростов-на-Дону, ул. Максима Горького, д. 245, офис 306</w:t>
      </w:r>
    </w:p>
    <w:p>
      <w:pPr>
        <w:pStyle w:val="Style7"/>
        <w:numPr>
          <w:ilvl w:val="0"/>
          <w:numId w:val="21"/>
        </w:numPr>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54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64" w:line="326" w:lineRule="exact"/>
        <w:ind w:left="4980" w:right="1540" w:firstLine="0"/>
      </w:pPr>
      <w:r>
        <w:rPr>
          <w:lang w:val="ru-RU" w:eastAsia="ru-RU" w:bidi="ru-RU"/>
          <w:w w:val="100"/>
          <w:spacing w:val="0"/>
          <w:color w:val="000000"/>
          <w:position w:val="0"/>
        </w:rPr>
        <w:t>420021, Республика Татарстан, г. Казань, ул. Московская, д. 55</w:t>
      </w:r>
    </w:p>
    <w:p>
      <w:pPr>
        <w:pStyle w:val="Style17"/>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№06/4258-17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045" w:val="left"/>
          <w:tab w:leader="none" w:pos="8071" w:val="left"/>
        </w:tabs>
        <w:widowControl w:val="0"/>
        <w:keepNext w:val="0"/>
        <w:keepLines w:val="0"/>
        <w:shd w:val="clear" w:color="auto" w:fill="auto"/>
        <w:bidi w:val="0"/>
        <w:jc w:val="both"/>
        <w:spacing w:before="0" w:after="137"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6" w:line="317" w:lineRule="exact"/>
        <w:ind w:left="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52"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6" w:line="317" w:lineRule="exact"/>
        <w:ind w:left="0" w:right="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109"/>
        <w:ind w:left="0" w:right="0" w:firstLine="840"/>
      </w:pPr>
      <w:r>
        <w:rPr>
          <w:lang w:val="ru-RU" w:eastAsia="ru-RU" w:bidi="ru-RU"/>
          <w:w w:val="100"/>
          <w:spacing w:val="0"/>
          <w:color w:val="000000"/>
          <w:position w:val="0"/>
        </w:rPr>
        <w:t>на основании решения Комиссии от 13.11.2017 по делу №06/4258-17 по итогам рассмотрения жалобы Заявителя от 08.11.2017 №0175300020917000009/1 (вх. №4857/09 от 08.11.2017) на действия Заказчика при проведении аукциона в электронной форме «Благоустройство дворовых территорий в муниципальном образовании городской округ Ялта Республики Крым» (извещение №0175300020917000009) (далее — Аукцион), в соответствии с частью 22 статьи 99,</w:t>
        <w:br w:type="page"/>
        <w:t>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9"/>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Заказчику, Аукционной комиссии Заказчика при рассмотрении заявок участников на участие в Аукционе не учитывать требований к товарам, используемых при выполнении работ с учетом решения от 13.11.2017 по делу №06/4258-17.</w:t>
      </w:r>
    </w:p>
    <w:p>
      <w:pPr>
        <w:pStyle w:val="Style7"/>
        <w:numPr>
          <w:ilvl w:val="0"/>
          <w:numId w:val="25"/>
        </w:numPr>
        <w:widowControl w:val="0"/>
        <w:keepNext w:val="0"/>
        <w:keepLines w:val="0"/>
        <w:shd w:val="clear" w:color="auto" w:fill="auto"/>
        <w:bidi w:val="0"/>
        <w:jc w:val="both"/>
        <w:spacing w:before="0" w:after="60" w:line="317" w:lineRule="exact"/>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13.11.2017 по делу №06/4258-17</w:t>
      </w:r>
    </w:p>
    <w:p>
      <w:pPr>
        <w:pStyle w:val="Style7"/>
        <w:numPr>
          <w:ilvl w:val="0"/>
          <w:numId w:val="25"/>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№06/4258-17.</w:t>
      </w:r>
    </w:p>
    <w:p>
      <w:pPr>
        <w:pStyle w:val="Style7"/>
        <w:numPr>
          <w:ilvl w:val="0"/>
          <w:numId w:val="25"/>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28.11.2017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№06/12741.</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w:t>
      </w:r>
    </w:p>
    <w:p>
      <w:pPr>
        <w:pStyle w:val="Style7"/>
        <w:widowControl w:val="0"/>
        <w:keepNext w:val="0"/>
        <w:keepLines w:val="0"/>
        <w:shd w:val="clear" w:color="auto" w:fill="auto"/>
        <w:bidi w:val="0"/>
        <w:jc w:val="left"/>
        <w:spacing w:before="0" w:after="43"/>
        <w:ind w:left="0" w:right="280" w:firstLine="0"/>
      </w:pPr>
      <w:r>
        <w:rPr>
          <w:lang w:val="ru-RU" w:eastAsia="ru-RU" w:bidi="ru-RU"/>
          <w:w w:val="100"/>
          <w:spacing w:val="0"/>
          <w:color w:val="000000"/>
          <w:position w:val="0"/>
        </w:rPr>
        <w:t>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9" w:val="right"/>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 Муравьёв</w:t>
      </w:r>
    </w:p>
    <w:p>
      <w:pPr>
        <w:pStyle w:val="Style7"/>
        <w:tabs>
          <w:tab w:leader="none" w:pos="9656"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 Казакова</w:t>
      </w:r>
    </w:p>
    <w:p>
      <w:pPr>
        <w:pStyle w:val="Style7"/>
        <w:tabs>
          <w:tab w:leader="none" w:pos="9656" w:val="right"/>
          <w:tab w:leader="none" w:pos="976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 Шалимова</w:t>
      </w:r>
    </w:p>
    <w:sectPr>
      <w:footnotePr>
        <w:pos w:val="pageBottom"/>
        <w:numFmt w:val="decimal"/>
        <w:numRestart w:val="continuous"/>
      </w:footnotePr>
      <w:type w:val="continuous"/>
      <w:pgSz w:w="11906" w:h="16838"/>
      <w:pgMar w:top="1386" w:left="791" w:right="661" w:bottom="8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7.%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5)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3) Exact"/>
    <w:basedOn w:val="CharStyle15"/>
    <w:rPr>
      <w:u w:val="single"/>
      <w:sz w:val="21"/>
      <w:szCs w:val="21"/>
    </w:rPr>
  </w:style>
  <w:style w:type="character" w:customStyle="1" w:styleId="CharStyle13">
    <w:name w:val="Основной текст (2)_"/>
    <w:basedOn w:val="DefaultParagraphFont"/>
    <w:link w:val="Style12"/>
    <w:rPr>
      <w:b w:val="0"/>
      <w:bCs w:val="0"/>
      <w:i w:val="0"/>
      <w:iCs w:val="0"/>
      <w:u w:val="none"/>
      <w:strike w:val="0"/>
      <w:smallCaps w:val="0"/>
      <w:sz w:val="9"/>
      <w:szCs w:val="9"/>
      <w:rFonts w:ascii="Lucida Sans Unicode" w:eastAsia="Lucida Sans Unicode" w:hAnsi="Lucida Sans Unicode" w:cs="Lucida Sans Unicode"/>
      <w:w w:val="150"/>
      <w:spacing w:val="-10"/>
    </w:rPr>
  </w:style>
  <w:style w:type="character" w:customStyle="1" w:styleId="CharStyle14">
    <w:name w:val="Основной текст (2)"/>
    <w:basedOn w:val="CharStyle13"/>
    <w:rPr>
      <w:lang w:val="ru-RU" w:eastAsia="ru-RU" w:bidi="ru-RU"/>
      <w:color w:val="000000"/>
      <w:position w:val="0"/>
    </w:rPr>
  </w:style>
  <w:style w:type="character" w:customStyle="1" w:styleId="CharStyle15">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4)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6"/>
    <w:rPr>
      <w:lang w:val="ru-RU" w:eastAsia="ru-RU" w:bidi="ru-RU"/>
      <w:u w:val="single"/>
      <w:w w:val="100"/>
      <w:spacing w:val="0"/>
      <w:color w:val="000000"/>
      <w:position w:val="0"/>
    </w:rPr>
  </w:style>
  <w:style w:type="character" w:customStyle="1" w:styleId="CharStyle21">
    <w:name w:val="Подпись к таблице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Подпись к таблице"/>
    <w:basedOn w:val="CharStyle21"/>
    <w:rPr>
      <w:lang w:val="ru-RU" w:eastAsia="ru-RU" w:bidi="ru-RU"/>
      <w:u w:val="single"/>
      <w:w w:val="100"/>
      <w:spacing w:val="0"/>
      <w:color w:val="000000"/>
      <w:position w:val="0"/>
    </w:rPr>
  </w:style>
  <w:style w:type="character" w:customStyle="1" w:styleId="CharStyle23">
    <w:name w:val="Подпись к таблице"/>
    <w:basedOn w:val="CharStyle21"/>
    <w:rPr>
      <w:lang w:val="ru-RU" w:eastAsia="ru-RU" w:bidi="ru-RU"/>
      <w:u w:val="single"/>
      <w:w w:val="100"/>
      <w:spacing w:val="0"/>
      <w:color w:val="000000"/>
      <w:position w:val="0"/>
    </w:rPr>
  </w:style>
  <w:style w:type="character" w:customStyle="1" w:styleId="CharStyle24">
    <w:name w:val="Подпись к таблице"/>
    <w:basedOn w:val="CharStyle21"/>
    <w:rPr>
      <w:lang w:val="1024"/>
      <w:w w:val="100"/>
      <w:spacing w:val="0"/>
      <w:color w:val="000000"/>
      <w:position w:val="0"/>
    </w:rPr>
  </w:style>
  <w:style w:type="character" w:customStyle="1" w:styleId="CharStyle25">
    <w:name w:val="Основной текст + 7,5 pt"/>
    <w:basedOn w:val="CharStyle16"/>
    <w:rPr>
      <w:lang w:val="ru-RU" w:eastAsia="ru-RU" w:bidi="ru-RU"/>
      <w:sz w:val="15"/>
      <w:szCs w:val="15"/>
      <w:w w:val="100"/>
      <w:spacing w:val="0"/>
      <w:color w:val="000000"/>
      <w:position w:val="0"/>
    </w:rPr>
  </w:style>
  <w:style w:type="character" w:customStyle="1" w:styleId="CharStyle26">
    <w:name w:val="Основной текст"/>
    <w:basedOn w:val="CharStyle16"/>
    <w:rPr>
      <w:lang w:val="ru-RU" w:eastAsia="ru-RU" w:bidi="ru-RU"/>
      <w:w w:val="100"/>
      <w:spacing w:val="0"/>
      <w:color w:val="000000"/>
      <w:position w:val="0"/>
    </w:rPr>
  </w:style>
  <w:style w:type="character" w:customStyle="1" w:styleId="CharStyle27">
    <w:name w:val="Основной текст + 10,5 pt"/>
    <w:basedOn w:val="CharStyle16"/>
    <w:rPr>
      <w:lang w:val="ru-RU" w:eastAsia="ru-RU" w:bidi="ru-RU"/>
      <w:sz w:val="21"/>
      <w:szCs w:val="21"/>
      <w:w w:val="100"/>
      <w:spacing w:val="0"/>
      <w:color w:val="000000"/>
      <w:position w:val="0"/>
    </w:rPr>
  </w:style>
  <w:style w:type="character" w:customStyle="1" w:styleId="CharStyle28">
    <w:name w:val="Основной текст (6)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29">
    <w:name w:val="Основной текст + Интервал 1 pt"/>
    <w:basedOn w:val="CharStyle16"/>
    <w:rPr>
      <w:lang w:val="ru-RU" w:eastAsia="ru-RU" w:bidi="ru-RU"/>
      <w:w w:val="100"/>
      <w:spacing w:val="30"/>
      <w:color w:val="000000"/>
      <w:position w:val="0"/>
    </w:rPr>
  </w:style>
  <w:style w:type="character" w:customStyle="1" w:styleId="CharStyle30">
    <w:name w:val="Основной текст"/>
    <w:basedOn w:val="CharStyle16"/>
    <w:rPr>
      <w:lang w:val="ru-RU" w:eastAsia="ru-RU" w:bidi="ru-RU"/>
      <w:w w:val="100"/>
      <w:spacing w:val="0"/>
      <w:color w:val="000000"/>
      <w:position w:val="0"/>
    </w:rPr>
  </w:style>
  <w:style w:type="character" w:customStyle="1" w:styleId="CharStyle32">
    <w:name w:val="Основной текст (7)_"/>
    <w:basedOn w:val="DefaultParagraphFont"/>
    <w:link w:val="Style31"/>
    <w:rPr>
      <w:b w:val="0"/>
      <w:bCs w:val="0"/>
      <w:i w:val="0"/>
      <w:iCs w:val="0"/>
      <w:u w:val="none"/>
      <w:strike w:val="0"/>
      <w:smallCaps w:val="0"/>
      <w:sz w:val="17"/>
      <w:szCs w:val="17"/>
      <w:rFonts w:ascii="Times New Roman" w:eastAsia="Times New Roman" w:hAnsi="Times New Roman" w:cs="Times New Roman"/>
    </w:rPr>
  </w:style>
  <w:style w:type="character" w:customStyle="1" w:styleId="CharStyle33">
    <w:name w:val="Основной текст"/>
    <w:basedOn w:val="CharStyle16"/>
    <w:rPr>
      <w:lang w:val="en-US" w:eastAsia="en-US" w:bidi="en-US"/>
      <w:u w:val="single"/>
      <w:w w:val="100"/>
      <w:spacing w:val="0"/>
      <w:color w:val="000000"/>
      <w:position w:val="0"/>
    </w:rPr>
  </w:style>
  <w:style w:type="paragraph" w:customStyle="1" w:styleId="Style3">
    <w:name w:val="Основной текст (3)"/>
    <w:basedOn w:val="Normal"/>
    <w:link w:val="CharStyle15"/>
    <w:pPr>
      <w:widowControl w:val="0"/>
      <w:shd w:val="clear" w:color="auto" w:fill="FFFFFF"/>
      <w:jc w:val="center"/>
      <w:spacing w:before="60" w:after="30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6"/>
    <w:pPr>
      <w:widowControl w:val="0"/>
      <w:shd w:val="clear" w:color="auto" w:fill="FFFFFF"/>
      <w:spacing w:before="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6)"/>
    <w:basedOn w:val="Normal"/>
    <w:link w:val="CharStyle28"/>
    <w:pPr>
      <w:widowControl w:val="0"/>
      <w:shd w:val="clear" w:color="auto" w:fill="FFFFFF"/>
      <w:spacing w:before="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both"/>
      <w:spacing w:before="60" w:after="60" w:line="0" w:lineRule="exact"/>
    </w:pPr>
    <w:rPr>
      <w:b w:val="0"/>
      <w:bCs w:val="0"/>
      <w:i w:val="0"/>
      <w:iCs w:val="0"/>
      <w:u w:val="none"/>
      <w:strike w:val="0"/>
      <w:smallCaps w:val="0"/>
      <w:sz w:val="9"/>
      <w:szCs w:val="9"/>
      <w:rFonts w:ascii="Lucida Sans Unicode" w:eastAsia="Lucida Sans Unicode" w:hAnsi="Lucida Sans Unicode" w:cs="Lucida Sans Unicode"/>
      <w:w w:val="150"/>
      <w:spacing w:val="-10"/>
    </w:rPr>
  </w:style>
  <w:style w:type="paragraph" w:customStyle="1" w:styleId="Style17">
    <w:name w:val="Основной текст (4)"/>
    <w:basedOn w:val="Normal"/>
    <w:link w:val="CharStyle18"/>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Подпись к таблице"/>
    <w:basedOn w:val="Normal"/>
    <w:link w:val="CharStyle21"/>
    <w:pPr>
      <w:widowControl w:val="0"/>
      <w:shd w:val="clear" w:color="auto" w:fill="FFFFFF"/>
      <w:jc w:val="both"/>
      <w:spacing w:line="322" w:lineRule="exact"/>
      <w:ind w:firstLine="820"/>
    </w:pPr>
    <w:rPr>
      <w:b w:val="0"/>
      <w:bCs w:val="0"/>
      <w:i w:val="0"/>
      <w:iCs w:val="0"/>
      <w:u w:val="none"/>
      <w:strike w:val="0"/>
      <w:smallCaps w:val="0"/>
      <w:sz w:val="26"/>
      <w:szCs w:val="26"/>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jc w:val="both"/>
      <w:spacing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