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33" w:y="1122"/>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33" w:y="112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33" w:y="112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1075" w:after="0"/>
        <w:ind w:left="0" w:right="0" w:firstLine="0"/>
      </w:pPr>
      <w:r>
        <w:rPr>
          <w:lang w:val="ru-RU" w:eastAsia="ru-RU" w:bidi="ru-RU"/>
          <w:w w:val="100"/>
          <w:spacing w:val="0"/>
          <w:color w:val="000000"/>
          <w:position w:val="0"/>
        </w:rPr>
        <w:t xml:space="preserve"> Заказчик:</w:t>
      </w:r>
    </w:p>
    <w:p>
      <w:pPr>
        <w:pStyle w:val="Style7"/>
        <w:framePr w:w="2848" w:h="1122" w:wrap="around" w:vAnchor="text" w:hAnchor="margin" w:x="-81" w:y="863"/>
        <w:widowControl w:val="0"/>
        <w:keepNext w:val="0"/>
        <w:keepLines w:val="0"/>
        <w:shd w:val="clear" w:color="auto" w:fill="auto"/>
        <w:bidi w:val="0"/>
        <w:jc w:val="both"/>
        <w:spacing w:before="0" w:after="0" w:line="562" w:lineRule="exact"/>
        <w:ind w:left="20" w:right="120" w:firstLine="0"/>
      </w:pPr>
      <w:r>
        <w:rPr>
          <w:rStyle w:val="CharStyle8"/>
          <w:spacing w:val="0"/>
        </w:rPr>
        <w:t>13.11.2017 № 06/13014 На № б/н от 05.11.2017</w:t>
      </w:r>
    </w:p>
    <w:p>
      <w:pPr>
        <w:pStyle w:val="Style7"/>
        <w:widowControl w:val="0"/>
        <w:keepNext w:val="0"/>
        <w:keepLines w:val="0"/>
        <w:shd w:val="clear" w:color="auto" w:fill="auto"/>
        <w:bidi w:val="0"/>
        <w:jc w:val="left"/>
        <w:spacing w:before="0" w:after="240"/>
        <w:ind w:left="0" w:right="340" w:firstLine="0"/>
      </w:pPr>
      <w:r>
        <w:rPr>
          <w:lang w:val="ru-RU" w:eastAsia="ru-RU" w:bidi="ru-RU"/>
          <w:w w:val="100"/>
          <w:spacing w:val="0"/>
          <w:color w:val="000000"/>
          <w:position w:val="0"/>
        </w:rPr>
        <w:t>Администрация Бахчисарайского района Республики Крым 298400, Республика Крым, г. Бахчисарай, ул. Советская, д. 5</w:t>
      </w:r>
    </w:p>
    <w:p>
      <w:pPr>
        <w:pStyle w:val="Style7"/>
        <w:numPr>
          <w:ilvl w:val="0"/>
          <w:numId w:val="1"/>
        </w:numPr>
        <w:widowControl w:val="0"/>
        <w:keepNext w:val="0"/>
        <w:keepLines w:val="0"/>
        <w:shd w:val="clear" w:color="auto" w:fill="auto"/>
        <w:bidi w:val="0"/>
        <w:jc w:val="left"/>
        <w:spacing w:before="0" w:after="0"/>
        <w:ind w:left="220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ИП Ибрагимова Н. С.</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649007, Республика Алтай,</w:t>
      </w:r>
    </w:p>
    <w:p>
      <w:pPr>
        <w:pStyle w:val="Style7"/>
        <w:widowControl w:val="0"/>
        <w:keepNext w:val="0"/>
        <w:keepLines w:val="0"/>
        <w:shd w:val="clear" w:color="auto" w:fill="auto"/>
        <w:bidi w:val="0"/>
        <w:jc w:val="left"/>
        <w:spacing w:before="0" w:after="244"/>
        <w:ind w:left="4980" w:right="0" w:firstLine="0"/>
      </w:pPr>
      <w:r>
        <w:rPr>
          <w:lang w:val="ru-RU" w:eastAsia="ru-RU" w:bidi="ru-RU"/>
          <w:w w:val="100"/>
          <w:spacing w:val="0"/>
          <w:color w:val="000000"/>
          <w:position w:val="0"/>
        </w:rPr>
        <w:t>г. Горно-Алтайск, ул. Шукшина, д. 93</w:t>
      </w:r>
    </w:p>
    <w:p>
      <w:pPr>
        <w:pStyle w:val="Style7"/>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236" w:line="317" w:lineRule="exact"/>
        <w:ind w:left="4980" w:right="0" w:firstLine="0"/>
      </w:pPr>
      <w:r>
        <w:rPr>
          <w:lang w:val="ru-RU" w:eastAsia="ru-RU" w:bidi="ru-RU"/>
          <w:w w:val="100"/>
          <w:spacing w:val="0"/>
          <w:color w:val="000000"/>
          <w:position w:val="0"/>
        </w:rPr>
        <w:t>д. 23А, сектор В, 25 этаж</w:t>
      </w:r>
    </w:p>
    <w:p>
      <w:pPr>
        <w:pStyle w:val="Style10"/>
        <w:widowControl w:val="0"/>
        <w:keepNext w:val="0"/>
        <w:keepLines w:val="0"/>
        <w:shd w:val="clear" w:color="auto" w:fill="auto"/>
        <w:bidi w:val="0"/>
        <w:spacing w:before="0" w:after="289"/>
        <w:ind w:left="0" w:right="0" w:firstLine="0"/>
      </w:pPr>
      <w:r>
        <w:rPr>
          <w:lang w:val="ru-RU" w:eastAsia="ru-RU" w:bidi="ru-RU"/>
          <w:w w:val="100"/>
          <w:spacing w:val="0"/>
          <w:color w:val="000000"/>
          <w:position w:val="0"/>
        </w:rPr>
        <w:t>Решение по делу №06/4230-17 о нарушении законодательства Российской Федерации о контрактной системе в сфере закупок</w:t>
      </w:r>
    </w:p>
    <w:p>
      <w:pPr>
        <w:pStyle w:val="Style7"/>
        <w:tabs>
          <w:tab w:leader="none" w:pos="7975"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10.11.2017</w:t>
        <w:tab/>
        <w:t>г. Симферополь</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участии представителей интересов Заказчика И. С. Доляновского (по доверенности), Е. Ю. Голубева (по доверенности),</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от 05.11.2017 (вх. №1485/10 от 07.11.2017) на действия Заказчика при проведении электронного аукциона «Ремонт</w:t>
      </w:r>
      <w:r>
        <w:br w:type="page"/>
      </w:r>
    </w:p>
    <w:p>
      <w:pPr>
        <w:pStyle w:val="Style7"/>
        <w:tabs>
          <w:tab w:leader="none" w:pos="10190" w:val="right"/>
        </w:tabs>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автомобильных дорог ул. Первомайская селе Фурмановка, ул. Солнечная селе Скалистое, ул. Проезд 1 от ул. Молодежная до ул. Весенняя селе Скалистое, ул. Тургенева селе Тургеневка, ул. Юбилейная селе Табачное, ул. Садовая селе Верхоречье Бахчисарайского района Республики Крым» (номер извещения 0175300042417000014)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29"/>
        <w:ind w:left="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center"/>
        <w:spacing w:before="0" w:after="188" w:line="260" w:lineRule="exact"/>
        <w:ind w:left="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7"/>
        <w:numPr>
          <w:ilvl w:val="0"/>
          <w:numId w:val="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Заказчиком обоснование начальной (максимальной) цены контракта произведено проектно - сметным способом на основании сметного расчета, при этом на официальном сайте Единой информационной системы проектной документации Заказчиком не размещено, что нарушает положения законодательства Российской Федерации в сфере закупок.</w:t>
      </w:r>
    </w:p>
    <w:p>
      <w:pPr>
        <w:pStyle w:val="Style7"/>
        <w:numPr>
          <w:ilvl w:val="0"/>
          <w:numId w:val="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Заказчиком в документации об Аукционе описание объекта закупки не носит объективного характера, т.к. вводит участников закупки в заблуждение относительно непосредственно объекта закупки, содержит противоречивую информацию.</w:t>
      </w:r>
    </w:p>
    <w:p>
      <w:pPr>
        <w:pStyle w:val="Style7"/>
        <w:numPr>
          <w:ilvl w:val="0"/>
          <w:numId w:val="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Документация об Аукционе не содержит сводного сметного расчета обосновывающего сумму 8 738 710,00 рублей 00 копеек, т.е. начальную (максимальную) цену контракта.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№06/12673,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06.09.2017, изменения - 19.10.2017;</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- 8 738 710,00 рублей;</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06.11.2017 09:00, дата окончания срока рассмотрения первых частей заявок участников: 07.11.2017, дата проведения Аукциона: 10.11.2017;</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подано 4 заявки, из них по результатам рассмотрения первых частей заявок участников, все заявки допущены к участию в Аукционе;</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при проведении Аукциона предложения о цене контракта подавали 4 участника, снижение от начальной (максимальной) цены контракта составило 16,50%;</w:t>
      </w:r>
    </w:p>
    <w:p>
      <w:pPr>
        <w:pStyle w:val="Style7"/>
        <w:numPr>
          <w:ilvl w:val="0"/>
          <w:numId w:val="5"/>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победителем Аукциона признано ООО "КРЫМСТРОЙ 2014" с предложенной ценой контракта 7296822,85 рублей.</w:t>
      </w:r>
    </w:p>
    <w:p>
      <w:pPr>
        <w:pStyle w:val="Style7"/>
        <w:numPr>
          <w:ilvl w:val="0"/>
          <w:numId w:val="7"/>
        </w:numPr>
        <w:tabs>
          <w:tab w:leader="none" w:pos="1220"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Заказчиком обоснование начальной (максимальной) цены контракта произведено проектно - сметным способом на основании сметного расчета, при этом на официальном сайте Единой информационной системы проектной документации Заказчиком не размещено, что нарушает положения законодательства Российской Федерации в сфере закупок.</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В ходе заседания Комиссии представители Заказчика пояснили: </w:t>
      </w:r>
      <w:r>
        <w:rPr>
          <w:rStyle w:val="CharStyle12"/>
        </w:rPr>
        <w:t>«...</w:t>
      </w:r>
      <w:r>
        <w:rPr>
          <w:rStyle w:val="CharStyle13"/>
        </w:rPr>
        <w:t>В</w:t>
      </w:r>
    </w:p>
    <w:p>
      <w:pPr>
        <w:pStyle w:val="Style14"/>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соответствии с разделом 3 «Обоснование Начальной (максимальной) цены контракта» Начальная (максимальная) цена муниципального контракта определена проектно - сметным способом на основании сметного расчета. Согласно извещения о проведении электронного аукциона для закупки № 0175300042417000014 в разделе «Перечень прикрепленных документов» находится 13 файлов, из них 6 - это локальный сметный расчет, и 6 - сводный сметный расчет.</w:t>
      </w:r>
    </w:p>
    <w:p>
      <w:pPr>
        <w:pStyle w:val="Style14"/>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соответствии с п. 1 ч. 9 ст. 22 Федерального закона № 44-ФЗ.проектно - сметный метод заключается в определении Н(М)ЦК на основании проектной документации. Однако данная норма не регламентирует конкретный перечень документации и сделать однозначный вывод о неполноте проектно - смтеной документации преждевременно.</w:t>
      </w:r>
    </w:p>
    <w:p>
      <w:pPr>
        <w:pStyle w:val="Style14"/>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Изучив письмо Минэкономоразвития от 13.10.2015 № Д24и-3073 (на которое ссылается заявитель), напрашивается вывод о неуместности отсылки на данное письмо по следующим основанием:</w:t>
      </w:r>
    </w:p>
    <w:p>
      <w:pPr>
        <w:pStyle w:val="Style14"/>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1) «отсутствие в составе документации о закупке полного объема проектной документации, может привести в невозможности формирования участником закупки педложения по исполнению государственного (муниципального) контракта». В нашем случае проектно - сметная документация</w:t>
      </w:r>
    </w:p>
    <w:p>
      <w:pPr>
        <w:pStyle w:val="Style7"/>
        <w:widowControl w:val="0"/>
        <w:keepNext w:val="0"/>
        <w:keepLines w:val="0"/>
        <w:shd w:val="clear" w:color="auto" w:fill="auto"/>
        <w:bidi w:val="0"/>
        <w:jc w:val="both"/>
        <w:spacing w:before="0" w:after="0"/>
        <w:ind w:left="20" w:right="0" w:firstLine="0"/>
      </w:pPr>
      <w:r>
        <w:rPr>
          <w:rStyle w:val="CharStyle13"/>
        </w:rPr>
        <w:t xml:space="preserve">имеется </w:t>
      </w:r>
      <w:r>
        <w:rPr>
          <w:rStyle w:val="CharStyle12"/>
        </w:rPr>
        <w:t>.»</w:t>
      </w:r>
      <w:r>
        <w:rPr>
          <w:lang w:val="ru-RU" w:eastAsia="ru-RU" w:bidi="ru-RU"/>
          <w:w w:val="100"/>
          <w:spacing w:val="0"/>
          <w:color w:val="000000"/>
          <w:position w:val="0"/>
        </w:rPr>
        <w:t xml:space="preserve"> (цитата письменных пояснений).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а также в составе жалобы Заявителем не представлены объективных доказательств и документально не подтверждены доводы, изложенные в жалобе, свидетельствующих о нарушении Заказчиком норм Закона о контрактной системе и невозможности формирования заявки на участие в электронном аукционе ввиду установления таких требований.</w:t>
      </w:r>
    </w:p>
    <w:p>
      <w:pPr>
        <w:pStyle w:val="Style7"/>
        <w:widowControl w:val="0"/>
        <w:keepNext w:val="0"/>
        <w:keepLines w:val="0"/>
        <w:shd w:val="clear" w:color="auto" w:fill="auto"/>
        <w:bidi w:val="0"/>
        <w:jc w:val="both"/>
        <w:spacing w:before="0" w:after="115" w:line="326" w:lineRule="exact"/>
        <w:ind w:left="0" w:right="20" w:firstLine="860"/>
      </w:pPr>
      <w:r>
        <w:rPr>
          <w:lang w:val="ru-RU" w:eastAsia="ru-RU" w:bidi="ru-RU"/>
          <w:w w:val="100"/>
          <w:spacing w:val="0"/>
          <w:color w:val="000000"/>
          <w:position w:val="0"/>
        </w:rPr>
        <w:t>Таким образом, Комиссия приходит к выводу о том, что данные доводы жалобы не нашли своего подтверждения и являются необоснованными.</w:t>
      </w:r>
    </w:p>
    <w:p>
      <w:pPr>
        <w:pStyle w:val="Style16"/>
        <w:framePr w:w="9408" w:wrap="notBeside" w:vAnchor="text" w:hAnchor="text" w:xAlign="center" w:y="1"/>
        <w:widowControl w:val="0"/>
        <w:keepNext w:val="0"/>
        <w:keepLines w:val="0"/>
        <w:shd w:val="clear" w:color="auto" w:fill="auto"/>
        <w:bidi w:val="0"/>
        <w:jc w:val="left"/>
        <w:spacing w:before="0" w:after="0"/>
        <w:ind w:left="0" w:right="0" w:firstLine="0"/>
      </w:pPr>
      <w:r>
        <w:rPr>
          <w:rStyle w:val="CharStyle18"/>
        </w:rPr>
        <w:t xml:space="preserve">2. В жалобе Заявитель указывает: </w:t>
      </w:r>
      <w:r>
        <w:rPr>
          <w:rStyle w:val="CharStyle19"/>
        </w:rPr>
        <w:t>«...</w:t>
      </w:r>
      <w:r>
        <w:rPr>
          <w:lang w:val="ru-RU" w:eastAsia="ru-RU" w:bidi="ru-RU"/>
          <w:w w:val="100"/>
          <w:spacing w:val="0"/>
          <w:color w:val="000000"/>
          <w:position w:val="0"/>
        </w:rPr>
        <w:t>Заказчик в информационной карте разделе 4 Наименование объекта закупки указывает объект закупки солгасно п. 3 раздела Техническое задание:</w:t>
      </w:r>
    </w:p>
    <w:p>
      <w:pPr>
        <w:pStyle w:val="Style16"/>
        <w:framePr w:w="9408" w:wrap="notBeside" w:vAnchor="text" w:hAnchor="text" w:xAlign="center" w:y="1"/>
        <w:widowControl w:val="0"/>
        <w:keepNext w:val="0"/>
        <w:keepLines w:val="0"/>
        <w:shd w:val="clear" w:color="auto" w:fill="auto"/>
        <w:bidi w:val="0"/>
        <w:jc w:val="left"/>
        <w:spacing w:before="0" w:after="0" w:line="210" w:lineRule="exact"/>
        <w:ind w:left="0" w:right="0" w:firstLine="0"/>
      </w:pPr>
      <w:r>
        <w:rPr>
          <w:rStyle w:val="CharStyle20"/>
        </w:rPr>
        <w:t>3. Место выполнения работ:</w:t>
      </w:r>
    </w:p>
    <w:tbl>
      <w:tblPr>
        <w:tblOverlap w:val="never"/>
        <w:tblLayout w:type="fixed"/>
        <w:jc w:val="center"/>
      </w:tblPr>
      <w:tblGrid>
        <w:gridCol w:w="7190"/>
        <w:gridCol w:w="2218"/>
      </w:tblGrid>
      <w:tr>
        <w:trPr>
          <w:trHeight w:val="523" w:hRule="exact"/>
        </w:trPr>
        <w:tc>
          <w:tcPr>
            <w:shd w:val="clear" w:color="auto" w:fill="FFFFFF"/>
            <w:tcBorders>
              <w:left w:val="single" w:sz="4"/>
              <w:top w:val="single" w:sz="4"/>
            </w:tcBorders>
            <w:vAlign w:val="center"/>
          </w:tcPr>
          <w:p>
            <w:pPr>
              <w:pStyle w:val="Style7"/>
              <w:framePr w:w="9408"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1"/>
              </w:rPr>
              <w:t>Наименование автомобильных дорог</w:t>
            </w:r>
          </w:p>
        </w:tc>
        <w:tc>
          <w:tcPr>
            <w:shd w:val="clear" w:color="auto" w:fill="FFFFFF"/>
            <w:tcBorders>
              <w:left w:val="single" w:sz="4"/>
              <w:right w:val="single" w:sz="4"/>
              <w:top w:val="single" w:sz="4"/>
            </w:tcBorders>
            <w:vAlign w:val="bottom"/>
          </w:tcPr>
          <w:p>
            <w:pPr>
              <w:pStyle w:val="Style7"/>
              <w:framePr w:w="9408"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2"/>
              </w:rPr>
              <w:t>Протяженность всей улицы, м.</w:t>
            </w:r>
          </w:p>
        </w:tc>
      </w:tr>
      <w:tr>
        <w:trPr>
          <w:trHeight w:val="451" w:hRule="exact"/>
        </w:trPr>
        <w:tc>
          <w:tcPr>
            <w:shd w:val="clear" w:color="auto" w:fill="FFFFFF"/>
            <w:tcBorders>
              <w:left w:val="single" w:sz="4"/>
              <w:top w:val="single" w:sz="4"/>
            </w:tcBorders>
            <w:vAlign w:val="center"/>
          </w:tcPr>
          <w:p>
            <w:pPr>
              <w:pStyle w:val="Style7"/>
              <w:framePr w:w="9408"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22"/>
              </w:rPr>
              <w:t>ул.Первомайская в с.Фурмановка</w:t>
            </w:r>
          </w:p>
        </w:tc>
        <w:tc>
          <w:tcPr>
            <w:shd w:val="clear" w:color="auto" w:fill="FFFFFF"/>
            <w:tcBorders>
              <w:left w:val="single" w:sz="4"/>
              <w:right w:val="single" w:sz="4"/>
              <w:top w:val="single" w:sz="4"/>
            </w:tcBorders>
            <w:vAlign w:val="bottom"/>
          </w:tcPr>
          <w:p>
            <w:pPr>
              <w:pStyle w:val="Style7"/>
              <w:framePr w:w="9408"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2"/>
              </w:rPr>
              <w:t>680</w:t>
            </w:r>
          </w:p>
        </w:tc>
      </w:tr>
      <w:tr>
        <w:trPr>
          <w:trHeight w:val="360" w:hRule="exact"/>
        </w:trPr>
        <w:tc>
          <w:tcPr>
            <w:shd w:val="clear" w:color="auto" w:fill="FFFFFF"/>
            <w:tcBorders>
              <w:left w:val="single" w:sz="4"/>
              <w:top w:val="single" w:sz="4"/>
            </w:tcBorders>
            <w:vAlign w:val="bottom"/>
          </w:tcPr>
          <w:p>
            <w:pPr>
              <w:pStyle w:val="Style7"/>
              <w:framePr w:w="9408"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22"/>
              </w:rPr>
              <w:t>ул.Тургенева в с.Тургеневка</w:t>
            </w:r>
          </w:p>
        </w:tc>
        <w:tc>
          <w:tcPr>
            <w:shd w:val="clear" w:color="auto" w:fill="FFFFFF"/>
            <w:tcBorders>
              <w:left w:val="single" w:sz="4"/>
              <w:right w:val="single" w:sz="4"/>
              <w:top w:val="single" w:sz="4"/>
            </w:tcBorders>
            <w:vAlign w:val="bottom"/>
          </w:tcPr>
          <w:p>
            <w:pPr>
              <w:pStyle w:val="Style7"/>
              <w:framePr w:w="9408"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2"/>
              </w:rPr>
              <w:t>273</w:t>
            </w:r>
          </w:p>
        </w:tc>
      </w:tr>
      <w:tr>
        <w:trPr>
          <w:trHeight w:val="360" w:hRule="exact"/>
        </w:trPr>
        <w:tc>
          <w:tcPr>
            <w:shd w:val="clear" w:color="auto" w:fill="FFFFFF"/>
            <w:tcBorders>
              <w:left w:val="single" w:sz="4"/>
              <w:top w:val="single" w:sz="4"/>
            </w:tcBorders>
            <w:vAlign w:val="bottom"/>
          </w:tcPr>
          <w:p>
            <w:pPr>
              <w:pStyle w:val="Style7"/>
              <w:framePr w:w="9408"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22"/>
              </w:rPr>
              <w:t>ул.Садовая в с.Верхоречье</w:t>
            </w:r>
          </w:p>
        </w:tc>
        <w:tc>
          <w:tcPr>
            <w:shd w:val="clear" w:color="auto" w:fill="FFFFFF"/>
            <w:tcBorders>
              <w:left w:val="single" w:sz="4"/>
              <w:right w:val="single" w:sz="4"/>
              <w:top w:val="single" w:sz="4"/>
            </w:tcBorders>
            <w:vAlign w:val="bottom"/>
          </w:tcPr>
          <w:p>
            <w:pPr>
              <w:pStyle w:val="Style7"/>
              <w:framePr w:w="9408"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2"/>
              </w:rPr>
              <w:t>470</w:t>
            </w:r>
          </w:p>
        </w:tc>
      </w:tr>
      <w:tr>
        <w:trPr>
          <w:trHeight w:val="360" w:hRule="exact"/>
        </w:trPr>
        <w:tc>
          <w:tcPr>
            <w:shd w:val="clear" w:color="auto" w:fill="FFFFFF"/>
            <w:tcBorders>
              <w:left w:val="single" w:sz="4"/>
              <w:top w:val="single" w:sz="4"/>
            </w:tcBorders>
            <w:vAlign w:val="bottom"/>
          </w:tcPr>
          <w:p>
            <w:pPr>
              <w:pStyle w:val="Style7"/>
              <w:framePr w:w="9408"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22"/>
              </w:rPr>
              <w:t>ул. Юбилейная в с.Табачное</w:t>
            </w:r>
          </w:p>
        </w:tc>
        <w:tc>
          <w:tcPr>
            <w:shd w:val="clear" w:color="auto" w:fill="FFFFFF"/>
            <w:tcBorders>
              <w:left w:val="single" w:sz="4"/>
              <w:right w:val="single" w:sz="4"/>
              <w:top w:val="single" w:sz="4"/>
            </w:tcBorders>
            <w:vAlign w:val="bottom"/>
          </w:tcPr>
          <w:p>
            <w:pPr>
              <w:pStyle w:val="Style7"/>
              <w:framePr w:w="9408"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2"/>
              </w:rPr>
              <w:t>598</w:t>
            </w:r>
          </w:p>
        </w:tc>
      </w:tr>
      <w:tr>
        <w:trPr>
          <w:trHeight w:val="365" w:hRule="exact"/>
        </w:trPr>
        <w:tc>
          <w:tcPr>
            <w:shd w:val="clear" w:color="auto" w:fill="FFFFFF"/>
            <w:tcBorders>
              <w:left w:val="single" w:sz="4"/>
              <w:top w:val="single" w:sz="4"/>
            </w:tcBorders>
            <w:vAlign w:val="center"/>
          </w:tcPr>
          <w:p>
            <w:pPr>
              <w:pStyle w:val="Style7"/>
              <w:framePr w:w="9408"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22"/>
              </w:rPr>
              <w:t>проезд №1 от ул.Молодежная до ул.Весенняя в с.Скалистое</w:t>
            </w:r>
          </w:p>
        </w:tc>
        <w:tc>
          <w:tcPr>
            <w:shd w:val="clear" w:color="auto" w:fill="FFFFFF"/>
            <w:tcBorders>
              <w:left w:val="single" w:sz="4"/>
              <w:right w:val="single" w:sz="4"/>
              <w:top w:val="single" w:sz="4"/>
            </w:tcBorders>
            <w:vAlign w:val="bottom"/>
          </w:tcPr>
          <w:p>
            <w:pPr>
              <w:pStyle w:val="Style7"/>
              <w:framePr w:w="9408"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2"/>
              </w:rPr>
              <w:t>800</w:t>
            </w:r>
          </w:p>
        </w:tc>
      </w:tr>
      <w:tr>
        <w:trPr>
          <w:trHeight w:val="370" w:hRule="exact"/>
        </w:trPr>
        <w:tc>
          <w:tcPr>
            <w:shd w:val="clear" w:color="auto" w:fill="FFFFFF"/>
            <w:tcBorders>
              <w:left w:val="single" w:sz="4"/>
              <w:top w:val="single" w:sz="4"/>
              <w:bottom w:val="single" w:sz="4"/>
            </w:tcBorders>
            <w:vAlign w:val="center"/>
          </w:tcPr>
          <w:p>
            <w:pPr>
              <w:pStyle w:val="Style7"/>
              <w:framePr w:w="9408"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22"/>
              </w:rPr>
              <w:t>Ул. Солнечная в с.Скалистое</w:t>
            </w:r>
          </w:p>
        </w:tc>
        <w:tc>
          <w:tcPr>
            <w:shd w:val="clear" w:color="auto" w:fill="FFFFFF"/>
            <w:tcBorders>
              <w:left w:val="single" w:sz="4"/>
              <w:right w:val="single" w:sz="4"/>
              <w:top w:val="single" w:sz="4"/>
              <w:bottom w:val="single" w:sz="4"/>
            </w:tcBorders>
            <w:vAlign w:val="bottom"/>
          </w:tcPr>
          <w:p>
            <w:pPr>
              <w:pStyle w:val="Style7"/>
              <w:framePr w:w="9408"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2"/>
              </w:rPr>
              <w:t>680</w:t>
            </w:r>
          </w:p>
        </w:tc>
      </w:tr>
    </w:tbl>
    <w:p>
      <w:pPr>
        <w:widowControl w:val="0"/>
        <w:rPr>
          <w:sz w:val="2"/>
          <w:szCs w:val="2"/>
        </w:rPr>
      </w:pPr>
    </w:p>
    <w:p>
      <w:pPr>
        <w:pStyle w:val="Style14"/>
        <w:widowControl w:val="0"/>
        <w:keepNext w:val="0"/>
        <w:keepLines w:val="0"/>
        <w:shd w:val="clear" w:color="auto" w:fill="auto"/>
        <w:bidi w:val="0"/>
        <w:spacing w:before="0" w:after="0" w:line="283" w:lineRule="exact"/>
        <w:ind w:left="0" w:right="20" w:firstLine="860"/>
      </w:pPr>
      <w:r>
        <w:rPr>
          <w:lang w:val="ru-RU" w:eastAsia="ru-RU" w:bidi="ru-RU"/>
          <w:w w:val="100"/>
          <w:spacing w:val="0"/>
          <w:color w:val="000000"/>
          <w:position w:val="0"/>
        </w:rPr>
        <w:t>Считаем, что описание объекта закупки не носит объективного характера, т.к. вводит участников закупки в заблуждение относительно непосредственно объекта закупки, содержит противоречивую информацию</w:t>
      </w:r>
      <w:r>
        <w:rPr>
          <w:rStyle w:val="CharStyle23"/>
        </w:rPr>
        <w:t>.» (цитата жалобы).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свидетельствующих о том, что Заказчик ограничил круг участников Аукциона и нарушил требования Закона о контрактной системе.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таких обстоятельствах Комиссия приходит к выводу о том, что довод Заявителя о наличии нарушений законодательства в сфере закупок при размещении данной закупки является необоснованным.</w:t>
      </w:r>
    </w:p>
    <w:p>
      <w:pPr>
        <w:pStyle w:val="Style7"/>
        <w:widowControl w:val="0"/>
        <w:keepNext w:val="0"/>
        <w:keepLines w:val="0"/>
        <w:shd w:val="clear" w:color="auto" w:fill="auto"/>
        <w:bidi w:val="0"/>
        <w:jc w:val="both"/>
        <w:spacing w:before="0" w:after="60"/>
        <w:ind w:left="0" w:right="0" w:firstLine="860"/>
      </w:pPr>
      <w:r>
        <w:rPr>
          <w:lang w:val="ru-RU" w:eastAsia="ru-RU" w:bidi="ru-RU"/>
          <w:w w:val="100"/>
          <w:spacing w:val="0"/>
          <w:color w:val="000000"/>
          <w:position w:val="0"/>
        </w:rPr>
        <w:t>Таким образом, данный довод Заявителя не нашел своего подтверждения.</w:t>
      </w:r>
    </w:p>
    <w:p>
      <w:pPr>
        <w:pStyle w:val="Style7"/>
        <w:numPr>
          <w:ilvl w:val="0"/>
          <w:numId w:val="9"/>
        </w:numPr>
        <w:tabs>
          <w:tab w:leader="none" w:pos="1177"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качестве довода жалобы Заявитель указывает на то, что Документация об Аукционе не содержит сводного сметного расчета обосновывающего сумму 8 738 710,00 рублей 00 копеек, т.е. начальную (максимальную) цену контракта.</w:t>
      </w:r>
    </w:p>
    <w:p>
      <w:pPr>
        <w:pStyle w:val="Style7"/>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pPr>
        <w:pStyle w:val="Style7"/>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Согласно части 8 статьи 99 Закона о контрактной системе органы внутреннего государственного (муниципального) финансового контроля осуществляют контроль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r>
        <w:br w:type="page"/>
      </w:r>
    </w:p>
    <w:p>
      <w:pPr>
        <w:pStyle w:val="Style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Частью 9 статьи 99 </w:t>
      </w:r>
      <w:r>
        <w:rPr>
          <w:lang w:val="ru-RU" w:eastAsia="ru-RU" w:bidi="ru-RU"/>
          <w:w w:val="100"/>
          <w:spacing w:val="0"/>
          <w:color w:val="000000"/>
          <w:position w:val="0"/>
        </w:rPr>
        <w:t>Закона о контрактной системе предусмотрено, что контроль в сфере закупок в соответствии с частью 8 статьи 99 Закона о контрактной системе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Законом о контрактной системе, Бюджетным кодексом Российской Федерации и принимаемыми в соответствии с ними нормативными правовыми актами Российской Федерации:</w:t>
      </w:r>
    </w:p>
    <w:p>
      <w:pPr>
        <w:pStyle w:val="Style7"/>
        <w:numPr>
          <w:ilvl w:val="0"/>
          <w:numId w:val="1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p>
    <w:p>
      <w:pPr>
        <w:pStyle w:val="Style7"/>
        <w:numPr>
          <w:ilvl w:val="0"/>
          <w:numId w:val="1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pPr>
        <w:pStyle w:val="Style7"/>
        <w:numPr>
          <w:ilvl w:val="0"/>
          <w:numId w:val="1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pPr>
        <w:pStyle w:val="Style7"/>
        <w:widowControl w:val="0"/>
        <w:keepNext w:val="0"/>
        <w:keepLines w:val="0"/>
        <w:shd w:val="clear" w:color="auto" w:fill="auto"/>
        <w:bidi w:val="0"/>
        <w:jc w:val="both"/>
        <w:spacing w:before="0" w:after="60"/>
        <w:ind w:left="20" w:right="20" w:firstLine="720"/>
      </w:pPr>
      <w:r>
        <w:rPr>
          <w:lang w:val="ru-RU" w:eastAsia="ru-RU" w:bidi="ru-RU"/>
          <w:w w:val="100"/>
          <w:spacing w:val="0"/>
          <w:color w:val="000000"/>
          <w:position w:val="0"/>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о том, что обоснование начальной (максимальной) цены контракта, установленное Заказчиком в документации об Аукционе не соответствует требованиям Закона о контрактной системе, Комиссией не рассматривался.</w:t>
      </w:r>
    </w:p>
    <w:p>
      <w:pPr>
        <w:pStyle w:val="Style7"/>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0" w:right="0" w:firstLine="0"/>
      </w:pPr>
      <w:r>
        <w:rPr>
          <w:lang w:val="ru-RU" w:eastAsia="ru-RU" w:bidi="ru-RU"/>
          <w:w w:val="100"/>
          <w:spacing w:val="0"/>
          <w:color w:val="000000"/>
          <w:position w:val="0"/>
        </w:rPr>
        <w:t>РЕШИЛА:</w:t>
      </w:r>
    </w:p>
    <w:p>
      <w:pPr>
        <w:pStyle w:val="Style7"/>
        <w:numPr>
          <w:ilvl w:val="0"/>
          <w:numId w:val="13"/>
        </w:numPr>
        <w:widowControl w:val="0"/>
        <w:keepNext w:val="0"/>
        <w:keepLines w:val="0"/>
        <w:shd w:val="clear" w:color="auto" w:fill="auto"/>
        <w:bidi w:val="0"/>
        <w:jc w:val="both"/>
        <w:spacing w:before="0" w:after="72" w:line="260" w:lineRule="exact"/>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13"/>
        </w:numPr>
        <w:widowControl w:val="0"/>
        <w:keepNext w:val="0"/>
        <w:keepLines w:val="0"/>
        <w:shd w:val="clear" w:color="auto" w:fill="auto"/>
        <w:bidi w:val="0"/>
        <w:jc w:val="both"/>
        <w:spacing w:before="0" w:after="60" w:line="317"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№06/12673.</w:t>
      </w:r>
    </w:p>
    <w:p>
      <w:pPr>
        <w:pStyle w:val="Style7"/>
        <w:widowControl w:val="0"/>
        <w:keepNext w:val="0"/>
        <w:keepLines w:val="0"/>
        <w:shd w:val="clear" w:color="auto" w:fill="auto"/>
        <w:bidi w:val="0"/>
        <w:jc w:val="both"/>
        <w:spacing w:before="0" w:after="339"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86" w:val="right"/>
          <w:tab w:leader="none" w:pos="8420" w:val="right"/>
          <w:tab w:leader="none" w:pos="962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2" w:val="right"/>
          <w:tab w:leader="none" w:pos="8401" w:val="right"/>
          <w:tab w:leader="none" w:pos="9553"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3"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398" w:left="920" w:right="762" w:bottom="113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3"/>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w w:val="100"/>
      <w:spacing w:val="0"/>
      <w:color w:val="000000"/>
      <w:position w:val="0"/>
    </w:rPr>
  </w:style>
  <w:style w:type="character" w:customStyle="1" w:styleId="CharStyle13">
    <w:name w:val="Основной текст + 10,5 pt"/>
    <w:basedOn w:val="CharStyle9"/>
    <w:rPr>
      <w:lang w:val="ru-RU" w:eastAsia="ru-RU" w:bidi="ru-RU"/>
      <w:sz w:val="21"/>
      <w:szCs w:val="21"/>
      <w:w w:val="100"/>
      <w:spacing w:val="0"/>
      <w:color w:val="000000"/>
      <w:position w:val="0"/>
    </w:rPr>
  </w:style>
  <w:style w:type="character" w:customStyle="1" w:styleId="CharStyle15">
    <w:name w:val="Основной текст (5)_"/>
    <w:basedOn w:val="DefaultParagraphFont"/>
    <w:link w:val="Style14"/>
    <w:rPr>
      <w:b w:val="0"/>
      <w:bCs w:val="0"/>
      <w:i w:val="0"/>
      <w:iCs w:val="0"/>
      <w:u w:val="none"/>
      <w:strike w:val="0"/>
      <w:smallCaps w:val="0"/>
      <w:sz w:val="21"/>
      <w:szCs w:val="21"/>
      <w:rFonts w:ascii="Times New Roman" w:eastAsia="Times New Roman" w:hAnsi="Times New Roman" w:cs="Times New Roman"/>
    </w:rPr>
  </w:style>
  <w:style w:type="character" w:customStyle="1" w:styleId="CharStyle17">
    <w:name w:val="Подпись к таблице_"/>
    <w:basedOn w:val="DefaultParagraphFont"/>
    <w:link w:val="Style16"/>
    <w:rPr>
      <w:b w:val="0"/>
      <w:bCs w:val="0"/>
      <w:i w:val="0"/>
      <w:iCs w:val="0"/>
      <w:u w:val="none"/>
      <w:strike w:val="0"/>
      <w:smallCaps w:val="0"/>
      <w:sz w:val="21"/>
      <w:szCs w:val="21"/>
      <w:rFonts w:ascii="Times New Roman" w:eastAsia="Times New Roman" w:hAnsi="Times New Roman" w:cs="Times New Roman"/>
    </w:rPr>
  </w:style>
  <w:style w:type="character" w:customStyle="1" w:styleId="CharStyle18">
    <w:name w:val="Подпись к таблице + 13 pt"/>
    <w:basedOn w:val="CharStyle17"/>
    <w:rPr>
      <w:lang w:val="ru-RU" w:eastAsia="ru-RU" w:bidi="ru-RU"/>
      <w:sz w:val="26"/>
      <w:szCs w:val="26"/>
      <w:w w:val="100"/>
      <w:spacing w:val="0"/>
      <w:color w:val="000000"/>
      <w:position w:val="0"/>
    </w:rPr>
  </w:style>
  <w:style w:type="character" w:customStyle="1" w:styleId="CharStyle19">
    <w:name w:val="Подпись к таблице + 13 pt"/>
    <w:basedOn w:val="CharStyle17"/>
    <w:rPr>
      <w:lang w:val="ru-RU" w:eastAsia="ru-RU" w:bidi="ru-RU"/>
      <w:sz w:val="26"/>
      <w:szCs w:val="26"/>
      <w:w w:val="100"/>
      <w:spacing w:val="0"/>
      <w:color w:val="000000"/>
      <w:position w:val="0"/>
    </w:rPr>
  </w:style>
  <w:style w:type="character" w:customStyle="1" w:styleId="CharStyle20">
    <w:name w:val="Подпись к таблице"/>
    <w:basedOn w:val="CharStyle17"/>
    <w:rPr>
      <w:lang w:val="ru-RU" w:eastAsia="ru-RU" w:bidi="ru-RU"/>
      <w:u w:val="single"/>
      <w:w w:val="100"/>
      <w:spacing w:val="0"/>
      <w:color w:val="000000"/>
      <w:position w:val="0"/>
    </w:rPr>
  </w:style>
  <w:style w:type="character" w:customStyle="1" w:styleId="CharStyle21">
    <w:name w:val="Основной текст + 10,5 pt,Курсив"/>
    <w:basedOn w:val="CharStyle9"/>
    <w:rPr>
      <w:lang w:val="ru-RU" w:eastAsia="ru-RU" w:bidi="ru-RU"/>
      <w:i/>
      <w:iCs/>
      <w:sz w:val="21"/>
      <w:szCs w:val="21"/>
      <w:w w:val="100"/>
      <w:spacing w:val="0"/>
      <w:color w:val="000000"/>
      <w:position w:val="0"/>
    </w:rPr>
  </w:style>
  <w:style w:type="character" w:customStyle="1" w:styleId="CharStyle22">
    <w:name w:val="Основной текст + 10,5 pt"/>
    <w:basedOn w:val="CharStyle9"/>
    <w:rPr>
      <w:lang w:val="ru-RU" w:eastAsia="ru-RU" w:bidi="ru-RU"/>
      <w:sz w:val="21"/>
      <w:szCs w:val="21"/>
      <w:w w:val="100"/>
      <w:spacing w:val="0"/>
      <w:color w:val="000000"/>
      <w:position w:val="0"/>
    </w:rPr>
  </w:style>
  <w:style w:type="character" w:customStyle="1" w:styleId="CharStyle23">
    <w:name w:val="Основной текст (5) + 13 pt"/>
    <w:basedOn w:val="CharStyle15"/>
    <w:rPr>
      <w:lang w:val="ru-RU" w:eastAsia="ru-RU" w:bidi="ru-RU"/>
      <w:sz w:val="26"/>
      <w:szCs w:val="26"/>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both"/>
      <w:spacing w:line="25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6">
    <w:name w:val="Подпись к таблице"/>
    <w:basedOn w:val="Normal"/>
    <w:link w:val="CharStyle17"/>
    <w:pPr>
      <w:widowControl w:val="0"/>
      <w:shd w:val="clear" w:color="auto" w:fill="FFFFFF"/>
      <w:spacing w:line="264"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