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49"/>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12" w:lineRule="exact"/>
        <w:ind w:left="20" w:right="400" w:firstLine="1460"/>
      </w:pPr>
      <w:r>
        <w:rPr>
          <w:lang w:val="ru-RU" w:eastAsia="ru-RU" w:bidi="ru-RU"/>
          <w:w w:val="100"/>
          <w:spacing w:val="0"/>
          <w:color w:val="000000"/>
          <w:position w:val="0"/>
        </w:rPr>
        <w:t xml:space="preserve">УПРАВЛЕНИЕ Федеральной антимонопольной службы </w:t>
      </w:r>
      <w:r>
        <w:rPr>
          <w:rStyle w:val="CharStyle13"/>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13"/>
          <w:b w:val="0"/>
          <w:bCs w:val="0"/>
        </w:rPr>
        <w:t>Государственное бюджетное учреждение</w:t>
      </w:r>
    </w:p>
    <w:p>
      <w:pPr>
        <w:pStyle w:val="Style3"/>
        <w:framePr w:w="3976" w:h="1909" w:wrap="around" w:vAnchor="text" w:hAnchor="margin" w:x="-47" w:y="3"/>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909" w:wrap="around" w:vAnchor="text" w:hAnchor="margin" w:x="-47" w:y="3"/>
        <w:widowControl w:val="0"/>
        <w:keepNext w:val="0"/>
        <w:keepLines w:val="0"/>
        <w:shd w:val="clear" w:color="auto" w:fill="auto"/>
        <w:bidi w:val="0"/>
        <w:jc w:val="left"/>
        <w:spacing w:before="0" w:after="0" w:line="562" w:lineRule="exact"/>
        <w:ind w:left="20" w:right="760" w:firstLine="0"/>
      </w:pPr>
      <w:r>
        <w:rPr>
          <w:rStyle w:val="CharStyle6"/>
          <w:spacing w:val="0"/>
        </w:rPr>
        <w:t>14.11.2017 № 06/13045 На № 1-03/11 от 03.11.2017</w:t>
      </w:r>
    </w:p>
    <w:p>
      <w:pPr>
        <w:pStyle w:val="Style5"/>
        <w:widowControl w:val="0"/>
        <w:keepNext w:val="0"/>
        <w:keepLines w:val="0"/>
        <w:shd w:val="clear" w:color="auto" w:fill="auto"/>
        <w:bidi w:val="0"/>
        <w:jc w:val="left"/>
        <w:spacing w:before="0" w:after="0"/>
        <w:ind w:left="1080" w:right="540" w:firstLine="0"/>
      </w:pPr>
      <w:r>
        <w:rPr>
          <w:lang w:val="ru-RU" w:eastAsia="ru-RU" w:bidi="ru-RU"/>
          <w:w w:val="100"/>
          <w:spacing w:val="0"/>
          <w:color w:val="000000"/>
          <w:position w:val="0"/>
        </w:rPr>
        <w:t>Республики Крым «Красногвардейский психоневрологический интернат»</w:t>
      </w:r>
    </w:p>
    <w:p>
      <w:pPr>
        <w:pStyle w:val="Style5"/>
        <w:widowControl w:val="0"/>
        <w:keepNext w:val="0"/>
        <w:keepLines w:val="0"/>
        <w:shd w:val="clear" w:color="auto" w:fill="auto"/>
        <w:bidi w:val="0"/>
        <w:jc w:val="both"/>
        <w:spacing w:before="0" w:after="292"/>
        <w:ind w:left="1080" w:right="2080" w:firstLine="0"/>
      </w:pPr>
      <w:r>
        <w:rPr>
          <w:lang w:val="ru-RU" w:eastAsia="ru-RU" w:bidi="ru-RU"/>
          <w:w w:val="100"/>
          <w:spacing w:val="0"/>
          <w:color w:val="000000"/>
          <w:position w:val="0"/>
        </w:rPr>
        <w:t>297041, Республика Крым, Красногвардейский район, с. Некрасово, ул. Комсомольская, д. 15</w:t>
      </w:r>
    </w:p>
    <w:p>
      <w:pPr>
        <w:pStyle w:val="Style5"/>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300" w:line="322" w:lineRule="exact"/>
        <w:ind w:left="4980" w:right="40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 ул. Кечкеметская, д. 198</w:t>
      </w:r>
    </w:p>
    <w:p>
      <w:pPr>
        <w:pStyle w:val="Style5"/>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«Тандем»</w:t>
      </w:r>
    </w:p>
    <w:p>
      <w:pPr>
        <w:pStyle w:val="Style5"/>
        <w:widowControl w:val="0"/>
        <w:keepNext w:val="0"/>
        <w:keepLines w:val="0"/>
        <w:shd w:val="clear" w:color="auto" w:fill="auto"/>
        <w:bidi w:val="0"/>
        <w:jc w:val="left"/>
        <w:spacing w:before="0" w:after="349" w:line="322" w:lineRule="exact"/>
        <w:ind w:left="4980" w:right="400" w:firstLine="0"/>
      </w:pPr>
      <w:r>
        <w:rPr>
          <w:lang w:val="ru-RU" w:eastAsia="ru-RU" w:bidi="ru-RU"/>
          <w:w w:val="100"/>
          <w:spacing w:val="0"/>
          <w:color w:val="000000"/>
          <w:position w:val="0"/>
        </w:rPr>
        <w:t>641530, Курганская обл., с. Мокроусово, ул. Механизаторов, д. 36</w:t>
      </w:r>
    </w:p>
    <w:p>
      <w:pPr>
        <w:pStyle w:val="Style5"/>
        <w:numPr>
          <w:ilvl w:val="0"/>
          <w:numId w:val="1"/>
        </w:numPr>
        <w:widowControl w:val="0"/>
        <w:keepNext w:val="0"/>
        <w:keepLines w:val="0"/>
        <w:shd w:val="clear" w:color="auto" w:fill="auto"/>
        <w:bidi w:val="0"/>
        <w:jc w:val="left"/>
        <w:spacing w:before="0" w:after="59"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5"/>
        <w:widowControl w:val="0"/>
        <w:keepNext w:val="0"/>
        <w:keepLines w:val="0"/>
        <w:shd w:val="clear" w:color="auto" w:fill="auto"/>
        <w:bidi w:val="0"/>
        <w:jc w:val="left"/>
        <w:spacing w:before="0" w:after="0" w:line="326" w:lineRule="exact"/>
        <w:ind w:left="4980" w:right="400" w:firstLine="0"/>
      </w:pPr>
      <w:r>
        <w:rPr>
          <w:lang w:val="ru-RU" w:eastAsia="ru-RU" w:bidi="ru-RU"/>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jc w:val="left"/>
        <w:spacing w:before="0" w:after="180" w:line="322" w:lineRule="exact"/>
        <w:ind w:left="4980" w:right="400" w:firstLine="0"/>
      </w:pPr>
      <w:r>
        <w:rPr>
          <w:lang w:val="ru-RU" w:eastAsia="ru-RU" w:bidi="ru-RU"/>
          <w:w w:val="100"/>
          <w:spacing w:val="0"/>
          <w:color w:val="000000"/>
          <w:position w:val="0"/>
        </w:rPr>
        <w:t>115114, г. Москва, ул. Кожевническая, д. 14, стр. 5</w:t>
      </w:r>
    </w:p>
    <w:p>
      <w:pPr>
        <w:pStyle w:val="Style15"/>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№06/4234-17 о нарушении законодательства Российской Федерации о контрактной системе в сфере закупок</w:t>
      </w:r>
    </w:p>
    <w:p>
      <w:pPr>
        <w:pStyle w:val="Style5"/>
        <w:numPr>
          <w:ilvl w:val="0"/>
          <w:numId w:val="3"/>
        </w:numPr>
        <w:tabs>
          <w:tab w:leader="none" w:pos="8102" w:val="left"/>
          <w:tab w:leader="none" w:pos="8122" w:val="left"/>
        </w:tabs>
        <w:widowControl w:val="0"/>
        <w:keepNext w:val="0"/>
        <w:keepLines w:val="0"/>
        <w:shd w:val="clear" w:color="auto" w:fill="auto"/>
        <w:bidi w:val="0"/>
        <w:jc w:val="both"/>
        <w:spacing w:before="0" w:after="193"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5"/>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 при участии представителей интересов:</w:t>
      </w:r>
    </w:p>
    <w:p>
      <w:pPr>
        <w:pStyle w:val="Style5"/>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Заявителя И. В. Цуканова (по доверенности),</w:t>
      </w:r>
    </w:p>
    <w:p>
      <w:pPr>
        <w:pStyle w:val="Style5"/>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Заказчика Э. С. Адамановой (по доверенности),</w:t>
      </w:r>
    </w:p>
    <w:p>
      <w:pPr>
        <w:pStyle w:val="Style5"/>
        <w:tabs>
          <w:tab w:leader="none" w:pos="11046" w:val="right"/>
        </w:tabs>
        <w:widowControl w:val="0"/>
        <w:keepNext w:val="0"/>
        <w:keepLines w:val="0"/>
        <w:shd w:val="clear" w:color="auto" w:fill="auto"/>
        <w:bidi w:val="0"/>
        <w:jc w:val="left"/>
        <w:spacing w:before="0" w:after="0" w:line="322" w:lineRule="exact"/>
        <w:ind w:left="860" w:right="20" w:firstLine="0"/>
      </w:pPr>
      <w:r>
        <w:rPr>
          <w:lang w:val="ru-RU" w:eastAsia="ru-RU" w:bidi="ru-RU"/>
          <w:w w:val="100"/>
          <w:spacing w:val="0"/>
          <w:color w:val="000000"/>
          <w:position w:val="0"/>
        </w:rPr>
        <w:t>Уполномоченного органа Е. В. Купаревой (по доверенности), — рассмотрев жалобу Заявителя от 03.11.2017 №1-03/11 (вх. №4812/09 от</w:t>
      </w:r>
    </w:p>
    <w:p>
      <w:pPr>
        <w:pStyle w:val="Style5"/>
        <w:numPr>
          <w:ilvl w:val="0"/>
          <w:numId w:val="5"/>
        </w:numPr>
        <w:tabs>
          <w:tab w:leader="none" w:pos="10206" w:val="right"/>
          <w:tab w:leader="none" w:pos="149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«Капитальное строительство Государственного бюджетного учреждения Республики Крым «Красногвардейский психоневрологический интернат» на 250 койко-мест с объектами инфраструктуры, необходимыми для его функционирования в соответствии с законодательством Российской Федерации, Республики Крым, Красногвардейский район, с.Некрасово» (номер извещения 0175200000417000131)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неправомерное решение о несоответствии заявки Заявителя требованиям документации об Аукционе по результатам рассмотрения вторых частей заявок на участие в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 06/12677,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w:t>
      </w:r>
      <w:r>
        <w:rPr>
          <w:rStyle w:val="Hyperlink"/>
          <w:lang w:val="ru-RU" w:eastAsia="ru-RU" w:bidi="ru-RU"/>
        </w:rPr>
        <w:t xml:space="preserve">. </w:t>
      </w:r>
      <w:r>
        <w:rPr>
          <w:rStyle w:val="Hyperlink"/>
        </w:rPr>
        <w:t>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16:10 10.11.2017.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16:50 13.11.2017.</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Представители Заказчика, Уполномоченного органа не согласились с доводами Заявителя и сообщили, что при проведении Аукциона Заказчик и Единая комиссия Уполномоченного органа действовали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05.10.2017;</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- 643 013 586,95 рублей;</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23.10.2017 08:00, дата окончания срока рассмотрения первых частей заявок участников: 27.10.2017, дата проведения Аукциона: 30.10.2017;</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4 заявок, из них по результатам рассмотрения первых частей заявок 2 заявки отклонены;</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2 участника, снижение от начальной (максимальной) цены контракта составило 2,00%;</w:t>
      </w:r>
    </w:p>
    <w:p>
      <w:pPr>
        <w:pStyle w:val="Style5"/>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по результатам рассмотрения вторых частей заявок заявка Заявителя признана не соответствующей требованиям документации об Аукционе;</w:t>
      </w:r>
    </w:p>
    <w:p>
      <w:pPr>
        <w:pStyle w:val="Style5"/>
        <w:numPr>
          <w:ilvl w:val="0"/>
          <w:numId w:val="7"/>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победителем Аукциона признано ООО «ГРУППА ИНВЕСТИЦИОННЫХ ПРЕДПРИЯТИЙ «МОНОЛИТ» с предложенной ценой контракта 633 368 383,16 рублей.</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приняла неправомерное решение о несоответствии заявки Заявителя требованиям документации об Аукционе по результатам рассмотрения вторых частей заявок на участие в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w:t>
        <w:br w:type="page"/>
        <w:t>установленным документацией о таком аукционе, в случае:</w:t>
      </w:r>
    </w:p>
    <w:p>
      <w:pPr>
        <w:pStyle w:val="Style5"/>
        <w:numPr>
          <w:ilvl w:val="0"/>
          <w:numId w:val="9"/>
        </w:numPr>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 xml:space="preserve"> непредставления документов и информации, которые предусмотрены пунктами 1 ,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9"/>
        </w:numPr>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line="322" w:lineRule="exact"/>
        <w:ind w:left="40" w:right="40" w:firstLine="84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5"/>
        <w:tabs>
          <w:tab w:leader="none" w:pos="2752" w:val="left"/>
        </w:tabs>
        <w:widowControl w:val="0"/>
        <w:keepNext w:val="0"/>
        <w:keepLines w:val="0"/>
        <w:shd w:val="clear" w:color="auto" w:fill="auto"/>
        <w:bidi w:val="0"/>
        <w:jc w:val="both"/>
        <w:spacing w:before="0" w:after="0" w:line="322" w:lineRule="exact"/>
        <w:ind w:left="40" w:right="0" w:firstLine="84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11"/>
        </w:numPr>
        <w:tabs>
          <w:tab w:leader="none" w:pos="1914" w:val="left"/>
          <w:tab w:leader="none" w:pos="191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№0175200000417000131-3-1 заявка Заявителя признана</w:t>
      </w:r>
    </w:p>
    <w:p>
      <w:pPr>
        <w:pStyle w:val="Style5"/>
        <w:widowControl w:val="0"/>
        <w:keepNext w:val="0"/>
        <w:keepLines w:val="0"/>
        <w:shd w:val="clear" w:color="auto" w:fill="auto"/>
        <w:bidi w:val="0"/>
        <w:jc w:val="both"/>
        <w:spacing w:before="0" w:after="0" w:line="322" w:lineRule="exact"/>
        <w:ind w:left="40" w:right="0" w:firstLine="0"/>
      </w:pPr>
      <w:r>
        <w:rPr>
          <w:rStyle w:val="CharStyle19"/>
        </w:rPr>
        <w:t xml:space="preserve">несоответствующей требованиям документации об Аукционе в связи с тем, что: </w:t>
      </w:r>
      <w:r>
        <w:rPr>
          <w:rStyle w:val="CharStyle20"/>
        </w:rPr>
        <w:t>«...</w:t>
      </w:r>
    </w:p>
    <w:p>
      <w:pPr>
        <w:pStyle w:val="Style7"/>
        <w:framePr w:h="210" w:vSpace="76" w:wrap="around" w:vAnchor="text" w:hAnchor="margin" w:x="4298" w:y="-4"/>
        <w:widowControl w:val="0"/>
        <w:keepNext w:val="0"/>
        <w:keepLines w:val="0"/>
        <w:shd w:val="clear" w:color="auto" w:fill="auto"/>
        <w:bidi w:val="0"/>
        <w:jc w:val="left"/>
        <w:spacing w:before="0" w:after="0" w:line="210" w:lineRule="exact"/>
        <w:ind w:left="100" w:right="0" w:firstLine="0"/>
      </w:pPr>
      <w:r>
        <w:rPr>
          <w:rStyle w:val="CharStyle8"/>
          <w:b/>
          <w:bCs/>
          <w:spacing w:val="0"/>
        </w:rPr>
        <w:t>1</w:t>
      </w:r>
    </w:p>
    <w:p>
      <w:pPr>
        <w:pStyle w:val="Style9"/>
        <w:framePr w:h="210" w:vSpace="83" w:wrap="around" w:vAnchor="text" w:hAnchor="margin" w:x="4293" w:y="279"/>
        <w:widowControl w:val="0"/>
        <w:keepNext w:val="0"/>
        <w:keepLines w:val="0"/>
        <w:shd w:val="clear" w:color="auto" w:fill="auto"/>
        <w:bidi w:val="0"/>
        <w:jc w:val="left"/>
        <w:spacing w:before="0" w:after="0" w:line="210" w:lineRule="exact"/>
        <w:ind w:left="100" w:right="0" w:firstLine="0"/>
      </w:pPr>
      <w:r>
        <w:rPr>
          <w:rStyle w:val="CharStyle10"/>
          <w:spacing w:val="0"/>
        </w:rPr>
        <w:t xml:space="preserve">Заявка № </w:t>
      </w:r>
      <w:r>
        <w:rPr>
          <w:rStyle w:val="CharStyle11"/>
          <w:spacing w:val="0"/>
        </w:rPr>
        <w:t>29</w:t>
      </w:r>
    </w:p>
    <w:p>
      <w:pPr>
        <w:pStyle w:val="Style7"/>
        <w:widowControl w:val="0"/>
        <w:keepNext w:val="0"/>
        <w:keepLines w:val="0"/>
        <w:shd w:val="clear" w:color="auto" w:fill="auto"/>
        <w:bidi w:val="0"/>
        <w:jc w:val="both"/>
        <w:spacing w:before="0" w:after="0" w:line="220" w:lineRule="exact"/>
        <w:ind w:left="40" w:right="0" w:firstLine="0"/>
      </w:pPr>
      <w:r>
        <w:rPr>
          <w:rStyle w:val="CharStyle21"/>
          <w:b/>
          <w:bCs/>
        </w:rPr>
        <w:t>№ по ранжированию</w:t>
      </w:r>
    </w:p>
    <w:p>
      <w:pPr>
        <w:pStyle w:val="Style7"/>
        <w:widowControl w:val="0"/>
        <w:keepNext w:val="0"/>
        <w:keepLines w:val="0"/>
        <w:shd w:val="clear" w:color="auto" w:fill="auto"/>
        <w:bidi w:val="0"/>
        <w:jc w:val="both"/>
        <w:spacing w:before="0" w:after="0" w:line="220" w:lineRule="exact"/>
        <w:ind w:left="40" w:right="0" w:firstLine="0"/>
      </w:pPr>
      <w:r>
        <w:rPr>
          <w:rStyle w:val="CharStyle21"/>
          <w:b/>
          <w:bCs/>
        </w:rPr>
        <w:t>Порядковый номер заявки</w:t>
      </w:r>
    </w:p>
    <w:p>
      <w:pPr>
        <w:pStyle w:val="Style7"/>
        <w:framePr w:h="210" w:vSpace="78" w:wrap="around" w:vAnchor="text" w:hAnchor="margin" w:x="61" w:y="1"/>
        <w:widowControl w:val="0"/>
        <w:keepNext w:val="0"/>
        <w:keepLines w:val="0"/>
        <w:shd w:val="clear" w:color="auto" w:fill="auto"/>
        <w:bidi w:val="0"/>
        <w:jc w:val="left"/>
        <w:spacing w:before="0" w:after="0" w:line="210" w:lineRule="exact"/>
        <w:ind w:left="0" w:right="0" w:firstLine="0"/>
      </w:pPr>
      <w:r>
        <w:rPr>
          <w:rStyle w:val="CharStyle8"/>
          <w:b/>
          <w:bCs/>
          <w:spacing w:val="0"/>
        </w:rPr>
        <w:t>Решение</w:t>
      </w:r>
    </w:p>
    <w:p>
      <w:pPr>
        <w:pStyle w:val="Style9"/>
        <w:widowControl w:val="0"/>
        <w:keepNext w:val="0"/>
        <w:keepLines w:val="0"/>
        <w:shd w:val="clear" w:color="auto" w:fill="auto"/>
        <w:bidi w:val="0"/>
        <w:spacing w:before="0" w:after="8" w:line="220" w:lineRule="exact"/>
        <w:ind w:left="0" w:right="40" w:firstLine="0"/>
      </w:pPr>
      <w:r>
        <w:rPr>
          <w:rStyle w:val="CharStyle23"/>
        </w:rPr>
        <w:t>Не соответствует</w:t>
      </w:r>
    </w:p>
    <w:p>
      <w:pPr>
        <w:pStyle w:val="Style7"/>
        <w:widowControl w:val="0"/>
        <w:keepNext w:val="0"/>
        <w:keepLines w:val="0"/>
        <w:shd w:val="clear" w:color="auto" w:fill="auto"/>
        <w:bidi w:val="0"/>
        <w:jc w:val="both"/>
        <w:spacing w:before="0" w:after="0" w:line="220" w:lineRule="exact"/>
        <w:ind w:left="40" w:right="0" w:firstLine="0"/>
      </w:pPr>
      <w:r>
        <w:rPr>
          <w:rStyle w:val="CharStyle21"/>
          <w:b/>
          <w:bCs/>
        </w:rPr>
        <w:t>Обоснование принятого решения</w:t>
      </w:r>
    </w:p>
    <w:p>
      <w:pPr>
        <w:pStyle w:val="Style9"/>
        <w:widowControl w:val="0"/>
        <w:keepNext w:val="0"/>
        <w:keepLines w:val="0"/>
        <w:shd w:val="clear" w:color="auto" w:fill="auto"/>
        <w:bidi w:val="0"/>
        <w:jc w:val="both"/>
        <w:spacing w:before="0" w:after="0" w:line="302" w:lineRule="exact"/>
        <w:ind w:left="40" w:right="40" w:firstLine="580"/>
      </w:pPr>
      <w:r>
        <w:rPr>
          <w:lang w:val="ru-RU" w:eastAsia="ru-RU" w:bidi="ru-RU"/>
          <w:w w:val="100"/>
          <w:spacing w:val="0"/>
          <w:color w:val="000000"/>
          <w:position w:val="0"/>
        </w:rPr>
        <w:t>В соответствии с п. 1 ч.6 ст. 69 Закона №44-ФЗ, а именно: непредставления документов и информации, которые предусмотрены</w:t>
      </w:r>
      <w:r>
        <w:rPr>
          <w:lang w:val="ru-RU" w:eastAsia="ru-RU" w:bidi="ru-RU"/>
          <w:w w:val="100"/>
          <w:spacing w:val="0"/>
          <w:color w:val="000000"/>
          <w:position w:val="0"/>
        </w:rPr>
        <w:t xml:space="preserve"> </w:t>
      </w:r>
      <w:r>
        <w:rPr>
          <w:rStyle w:val="CharStyle24"/>
        </w:rPr>
        <w:t>п. 1</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5"/>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5"/>
        </w:rPr>
        <w:t>5</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5"/>
        </w:rPr>
        <w:t xml:space="preserve">7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4"/>
        </w:rPr>
        <w:t>8 ч. 2 ст. 62</w:t>
      </w:r>
      <w:r>
        <w:rPr>
          <w:rStyle w:val="CharStyle23"/>
        </w:rPr>
        <w:t>,</w:t>
      </w:r>
      <w:r>
        <w:rPr>
          <w:rStyle w:val="CharStyle23"/>
        </w:rPr>
        <w:t xml:space="preserve"> </w:t>
      </w:r>
      <w:r>
        <w:rPr>
          <w:rStyle w:val="CharStyle24"/>
        </w:rPr>
        <w:t>ч. 3</w:t>
      </w:r>
      <w:r>
        <w:rPr>
          <w:rStyle w:val="CharStyle25"/>
        </w:rPr>
        <w:t xml:space="preserve">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4"/>
        </w:rPr>
        <w:t>5 ст. 66</w:t>
      </w:r>
      <w:r>
        <w:rPr>
          <w:rStyle w:val="CharStyle25"/>
        </w:rPr>
        <w:t xml:space="preserve"> </w:t>
      </w:r>
      <w:r>
        <w:rPr>
          <w:lang w:val="ru-RU" w:eastAsia="ru-RU" w:bidi="ru-RU"/>
          <w:w w:val="100"/>
          <w:spacing w:val="0"/>
          <w:color w:val="000000"/>
          <w:position w:val="0"/>
        </w:rPr>
        <w:t xml:space="preserve">настоящего Закона №44-ФЗ, ч.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именно:</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Согласно пункту 2.1 части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также п.2 ч.5 ст. 66 Закона №44-ФЗ, вторая часть заявки на участие в электронном аукционе должна содержать документы, подтверждающие соответствие участника закупки следующим требованиям: документы или копии документов: действующая выписка из реестра членов СРО по</w:t>
      </w:r>
      <w:r>
        <w:fldChar w:fldCharType="begin"/>
      </w:r>
      <w:r>
        <w:rPr>
          <w:color w:val="000000"/>
        </w:rPr>
        <w:instrText> HYPERLINK "http://www.consultant.ru/document/cons_doc_LAW_213944/%23dst100010" </w:instrText>
      </w:r>
      <w:r>
        <w:fldChar w:fldCharType="separate"/>
      </w:r>
      <w:r>
        <w:rPr>
          <w:rStyle w:val="Hyperlink"/>
          <w:lang w:val="ru-RU" w:eastAsia="ru-RU" w:bidi="ru-RU"/>
          <w:w w:val="100"/>
          <w:spacing w:val="0"/>
          <w:position w:val="0"/>
        </w:rPr>
        <w:t xml:space="preserve"> </w:t>
      </w:r>
      <w:r>
        <w:rPr>
          <w:rStyle w:val="Hyperlink"/>
        </w:rPr>
        <w:t>форме</w:t>
      </w:r>
      <w:r>
        <w:rPr>
          <w:rStyle w:val="Hyperlink"/>
        </w:rPr>
        <w:t>,</w:t>
      </w:r>
      <w:r>
        <w:fldChar w:fldCharType="end"/>
      </w:r>
      <w:r>
        <w:rPr>
          <w:lang w:val="ru-RU" w:eastAsia="ru-RU" w:bidi="ru-RU"/>
          <w:w w:val="100"/>
          <w:spacing w:val="0"/>
          <w:color w:val="000000"/>
          <w:position w:val="0"/>
        </w:rPr>
        <w:t xml:space="preserve"> утвержденной Приказом Ростехнадзора от 16.02.2017 </w:t>
      </w:r>
      <w:r>
        <w:rPr>
          <w:lang w:val="en-US" w:eastAsia="en-US" w:bidi="en-US"/>
          <w:w w:val="100"/>
          <w:spacing w:val="0"/>
          <w:color w:val="000000"/>
          <w:position w:val="0"/>
        </w:rPr>
        <w:t xml:space="preserve">N </w:t>
      </w:r>
      <w:r>
        <w:rPr>
          <w:lang w:val="ru-RU" w:eastAsia="ru-RU" w:bidi="ru-RU"/>
          <w:w w:val="100"/>
          <w:spacing w:val="0"/>
          <w:color w:val="000000"/>
          <w:position w:val="0"/>
        </w:rPr>
        <w:t>58, подтверждающая, что участник закупки является действующим членом саморегулируемой организации, (в соответствии с частью 3 статьи 55.6 Градостроительного Кодекса РФ) основанной на членстве лиц осуществляющих строительство, с правом выполнять строительство, реконструкцию, капитальный ремонт объектов капитального строительства по договору строительного подряда, заключенным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использования атомной энергии).</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Выписка должна содержать сведения о соответствии члена СРО уровню ответственности предусмотренному частью 12 и частью 13 статьи 55.16 Градостроительного Кодекса РФ.</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Данная выписка должна быть выдана не ранее чем за один месяц до даты окончания срока подачи заявок, который указан в извещении о закупке и настоящей документации.</w:t>
      </w:r>
    </w:p>
    <w:p>
      <w:pPr>
        <w:pStyle w:val="Style9"/>
        <w:tabs>
          <w:tab w:leader="none" w:pos="7331" w:val="left"/>
        </w:tabs>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Пунктом 1 части 1 раздела </w:t>
      </w:r>
      <w:r>
        <w:rPr>
          <w:lang w:val="en-US" w:eastAsia="en-US" w:bidi="en-US"/>
          <w:w w:val="100"/>
          <w:spacing w:val="0"/>
          <w:color w:val="000000"/>
          <w:position w:val="0"/>
        </w:rPr>
        <w:t xml:space="preserve">II.II </w:t>
      </w:r>
      <w:r>
        <w:rPr>
          <w:lang w:val="ru-RU" w:eastAsia="ru-RU" w:bidi="ru-RU"/>
          <w:w w:val="100"/>
          <w:spacing w:val="0"/>
          <w:color w:val="000000"/>
          <w:position w:val="0"/>
        </w:rPr>
        <w:t>документации об аукционе в электронной форме предусмотрено следующее требование к участникам закупки:</w:t>
        <w:tab/>
        <w:t>соответствие требованиям,</w:t>
      </w:r>
    </w:p>
    <w:p>
      <w:pPr>
        <w:pStyle w:val="Style9"/>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 xml:space="preserve">-участник закупки должен быть членом СРО, основанной на членстве лиц, осуществляющих строительство, с правом выполнять строительство, реконструкцию, капитальный ремонт объектов капитального строительства по договору строительного подряда, заключенным с использованием </w:t>
      </w:r>
      <w:r>
        <w:rPr>
          <w:rStyle w:val="CharStyle23"/>
        </w:rPr>
        <w:t>конкурентных способов заключения договоров, в отношении объектов капитального строительства</w:t>
      </w:r>
      <w:r>
        <w:rPr>
          <w:lang w:val="ru-RU" w:eastAsia="ru-RU" w:bidi="ru-RU"/>
          <w:w w:val="100"/>
          <w:spacing w:val="0"/>
          <w:color w:val="000000"/>
          <w:position w:val="0"/>
        </w:rPr>
        <w:br w:type="page"/>
        <w:t>(кроме особо опасных, технически сложных и уникальных объектов использования атомной энергии) и иметь действующую выписку из реестра членов СРО.</w:t>
      </w:r>
    </w:p>
    <w:p>
      <w:pPr>
        <w:pStyle w:val="Style9"/>
        <w:numPr>
          <w:ilvl w:val="0"/>
          <w:numId w:val="7"/>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участник закупки должен быть зарегистрирован в том же субъекте Российской Федерации, в котором зарегистрирована СРО, членом которой этот участник является, согласно части 3 статьи 55.6 Градостроительного Кодекса РФ, за исключением:</w:t>
      </w:r>
    </w:p>
    <w:p>
      <w:pPr>
        <w:pStyle w:val="Style9"/>
        <w:numPr>
          <w:ilvl w:val="0"/>
          <w:numId w:val="13"/>
        </w:numPr>
        <w:widowControl w:val="0"/>
        <w:keepNext w:val="0"/>
        <w:keepLines w:val="0"/>
        <w:shd w:val="clear" w:color="auto" w:fill="auto"/>
        <w:bidi w:val="0"/>
        <w:jc w:val="both"/>
        <w:spacing w:before="0" w:after="0" w:line="278" w:lineRule="exact"/>
        <w:ind w:left="40" w:right="0" w:firstLine="580"/>
      </w:pPr>
      <w:r>
        <w:rPr>
          <w:lang w:val="ru-RU" w:eastAsia="ru-RU" w:bidi="ru-RU"/>
          <w:w w:val="100"/>
          <w:spacing w:val="0"/>
          <w:color w:val="000000"/>
          <w:position w:val="0"/>
        </w:rPr>
        <w:t xml:space="preserve"> иностранных юридических лиц;</w:t>
      </w:r>
    </w:p>
    <w:p>
      <w:pPr>
        <w:pStyle w:val="Style9"/>
        <w:numPr>
          <w:ilvl w:val="0"/>
          <w:numId w:val="13"/>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w:t>
      </w:r>
      <w:r>
        <w:rPr>
          <w:lang w:val="ru-RU" w:eastAsia="ru-RU" w:bidi="ru-RU"/>
          <w:w w:val="100"/>
          <w:spacing w:val="0"/>
          <w:color w:val="000000"/>
          <w:position w:val="0"/>
        </w:rPr>
        <w:t xml:space="preserve"> </w:t>
      </w:r>
      <w:r>
        <w:rPr>
          <w:rStyle w:val="CharStyle24"/>
        </w:rPr>
        <w:t>частью 3 статьи 55.4</w:t>
      </w:r>
      <w:r>
        <w:rPr>
          <w:rStyle w:val="CharStyle25"/>
        </w:rPr>
        <w:t xml:space="preserve"> </w:t>
      </w:r>
      <w:r>
        <w:rPr>
          <w:lang w:val="ru-RU" w:eastAsia="ru-RU" w:bidi="ru-RU"/>
          <w:w w:val="100"/>
          <w:spacing w:val="0"/>
          <w:color w:val="000000"/>
          <w:position w:val="0"/>
        </w:rPr>
        <w:t>Градостроительного Кодекса РФ.</w:t>
      </w:r>
    </w:p>
    <w:p>
      <w:pPr>
        <w:pStyle w:val="Style7"/>
        <w:numPr>
          <w:ilvl w:val="0"/>
          <w:numId w:val="7"/>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СРО, в котором состоит участник, должна иметь компенсационный фонд обеспечения договорных обязательств</w:t>
      </w:r>
      <w:r>
        <w:rPr>
          <w:rStyle w:val="CharStyle26"/>
          <w:b w:val="0"/>
          <w:bCs w:val="0"/>
        </w:rPr>
        <w:t>;</w:t>
      </w:r>
    </w:p>
    <w:p>
      <w:pPr>
        <w:pStyle w:val="Style9"/>
        <w:numPr>
          <w:ilvl w:val="0"/>
          <w:numId w:val="7"/>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уровень ответственности участника закупки - члена саморегулируемой организации по обязательствам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 должен соответствовать требованиям пункта 2 части 3 статьи 55.8 и части 13 статьи 55.16 Градостроительного кодекса Российской Федерации.;</w:t>
      </w:r>
    </w:p>
    <w:p>
      <w:pPr>
        <w:pStyle w:val="Style9"/>
        <w:numPr>
          <w:ilvl w:val="0"/>
          <w:numId w:val="7"/>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уровень ответственности участника закупки - члена саморегулируемой организации по обязательствам по договору строительного подряда, в соответствии с которым указанным членом внесен взнос в компенсационный фонд возмещения вреда, должен соответствовать требованиям части 12 статьи 55.16 Градостроительного кодекса Российской Федерации.</w:t>
      </w:r>
    </w:p>
    <w:p>
      <w:pPr>
        <w:pStyle w:val="Style9"/>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В свою очередь, участником электронного аукциона во второй части заявки на участие в электронном аукционе предоставлена выписка из реестра членов саморегулируемой организации от 16.10.2017 №520/03, выданная </w:t>
      </w:r>
      <w:r>
        <w:rPr>
          <w:rStyle w:val="CharStyle27"/>
        </w:rPr>
        <w:t>Ассоциацией «Объединение строительных организаций Екатеринбурга и Свердловской области»</w:t>
      </w: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Однако, согласно данным государственного реестра саморегулируемых организаций (по адресу в сети Интернет:</w:t>
      </w:r>
      <w:r>
        <w:fldChar w:fldCharType="begin"/>
      </w:r>
      <w:r>
        <w:rPr>
          <w:color w:val="000000"/>
        </w:rPr>
        <w:instrText> HYPERLINK "http://www.sro.gosnadzor.ru/" </w:instrText>
      </w:r>
      <w:r>
        <w:fldChar w:fldCharType="separate"/>
      </w:r>
      <w:r>
        <w:rPr>
          <w:rStyle w:val="Hyperlink"/>
          <w:lang w:val="ru-RU" w:eastAsia="ru-RU" w:bidi="ru-RU"/>
          <w:w w:val="100"/>
          <w:spacing w:val="0"/>
          <w:position w:val="0"/>
        </w:rPr>
        <w:t xml:space="preserve"> </w:t>
      </w:r>
      <w:r>
        <w:rPr>
          <w:rStyle w:val="Hyperlink"/>
          <w:lang w:val="en-US" w:eastAsia="en-US" w:bidi="en-US"/>
        </w:rPr>
        <w:t>www.sro.gosnadzor.ru</w:t>
      </w:r>
      <w:r>
        <w:rPr>
          <w:rStyle w:val="Hyperlink"/>
          <w:lang w:val="en-US" w:eastAsia="en-US" w:bidi="en-US"/>
        </w:rPr>
        <w:t>)</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отсутствует информация о наличии у Ассоциации «Объединение строительных организаций Екатеринбурга и Свердловской области» компенсационного фонда обеспечения договорных обязательств.</w:t>
      </w:r>
    </w:p>
    <w:p>
      <w:pPr>
        <w:pStyle w:val="Style9"/>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Таким образом, Единой комиссии невозможно установить соответствие участника требованиям документации об электронном аукционе и Закона №44-ФЗ.</w:t>
      </w:r>
    </w:p>
    <w:p>
      <w:pPr>
        <w:pStyle w:val="Style5"/>
        <w:widowControl w:val="0"/>
        <w:keepNext w:val="0"/>
        <w:keepLines w:val="0"/>
        <w:shd w:val="clear" w:color="auto" w:fill="auto"/>
        <w:bidi w:val="0"/>
        <w:jc w:val="both"/>
        <w:spacing w:before="0" w:after="0" w:line="322" w:lineRule="exact"/>
        <w:ind w:left="40" w:right="0" w:firstLine="820"/>
      </w:pPr>
      <w:r>
        <w:rPr>
          <w:rStyle w:val="CharStyle28"/>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jc w:val="both"/>
        <w:spacing w:before="0" w:after="0" w:line="322" w:lineRule="exact"/>
        <w:ind w:left="40" w:right="40" w:firstLine="820"/>
      </w:pPr>
      <w:r>
        <w:rPr>
          <w:lang w:val="ru-RU" w:eastAsia="ru-RU" w:bidi="ru-RU"/>
          <w:w w:val="100"/>
          <w:spacing w:val="0"/>
          <w:color w:val="000000"/>
          <w:position w:val="0"/>
        </w:rPr>
        <w:t>На заседании Комиссия, изучив документацию об Аукционе, заявку Заявителя, предоставленную представителем Уполномоченного органа, протокол подведения итогов Аукциона, документы предоставленные представителями Заказчика, Уполномоченного органа и Заявителя, приходит к выводу о необоснованности действий Единой комиссии Уполномоченного органа по признанию заявки Заявителя не соответствующей документации об Аукционе: Заявитель является членом саморегулируемой организации, основанной на членстве лиц, осуществляющих строительство - ассоциации «Объединение строительных организаций Екатеринбурга и Свердловской области». При этом на заседании Комиссии представители Заказчика, Уполномоченного органа не предоставили документов Федеральной службы по экологическому, технологическому и атомному надзору подтверждающие сведения, указанные в итоговом протоколе.</w:t>
      </w:r>
    </w:p>
    <w:p>
      <w:pPr>
        <w:pStyle w:val="Style5"/>
        <w:widowControl w:val="0"/>
        <w:keepNext w:val="0"/>
        <w:keepLines w:val="0"/>
        <w:shd w:val="clear" w:color="auto" w:fill="auto"/>
        <w:bidi w:val="0"/>
        <w:jc w:val="both"/>
        <w:spacing w:before="0" w:after="0" w:line="322" w:lineRule="exact"/>
        <w:ind w:left="40" w:right="40" w:firstLine="820"/>
      </w:pPr>
      <w:r>
        <w:rPr>
          <w:lang w:val="ru-RU" w:eastAsia="ru-RU" w:bidi="ru-RU"/>
          <w:w w:val="100"/>
          <w:spacing w:val="0"/>
          <w:color w:val="000000"/>
          <w:position w:val="0"/>
        </w:rPr>
        <w:t>Данные действия Аукционной комиссии Заказчика нарушают требования части 6 статьи 69 Закона о контрактной системе и содержат признаки состава административного правонарушения, ответственность за совершение которого</w:t>
      </w:r>
      <w:r>
        <w:br w:type="page"/>
      </w:r>
    </w:p>
    <w:p>
      <w:pPr>
        <w:pStyle w:val="Style5"/>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предусмотрена частью 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Таким образом, довод Заявителя нашел свое подтверждение.</w:t>
      </w:r>
    </w:p>
    <w:p>
      <w:pPr>
        <w:pStyle w:val="Style5"/>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5"/>
        <w:numPr>
          <w:ilvl w:val="0"/>
          <w:numId w:val="15"/>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5"/>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Единую комиссию Уполномоченного органа нарушившей требования части 6 статьи 69 Закона о контрактной системе.</w:t>
      </w:r>
    </w:p>
    <w:p>
      <w:pPr>
        <w:pStyle w:val="Style5"/>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Уполномоченного органа, Заказчику выдать предписание об устранении нарушений законодательства Российской Федерации о контрактной системе в сфере закупок.</w:t>
      </w:r>
    </w:p>
    <w:p>
      <w:pPr>
        <w:pStyle w:val="Style5"/>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№06/4234-17 для рассмотрения вопроса о возбуждении дела об административном правонарушении.</w:t>
      </w:r>
    </w:p>
    <w:p>
      <w:pPr>
        <w:pStyle w:val="Style5"/>
        <w:numPr>
          <w:ilvl w:val="0"/>
          <w:numId w:val="15"/>
        </w:numPr>
        <w:widowControl w:val="0"/>
        <w:keepNext w:val="0"/>
        <w:keepLines w:val="0"/>
        <w:shd w:val="clear" w:color="auto" w:fill="auto"/>
        <w:bidi w:val="0"/>
        <w:jc w:val="both"/>
        <w:spacing w:before="0" w:after="18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06/12677.</w:t>
      </w:r>
    </w:p>
    <w:p>
      <w:pPr>
        <w:pStyle w:val="Style5"/>
        <w:framePr w:w="2154" w:h="1929" w:wrap="around" w:vAnchor="text" w:hAnchor="margin" w:x="7725" w:y="970"/>
        <w:widowControl w:val="0"/>
        <w:keepNext w:val="0"/>
        <w:keepLines w:val="0"/>
        <w:shd w:val="clear" w:color="auto" w:fill="auto"/>
        <w:bidi w:val="0"/>
        <w:jc w:val="left"/>
        <w:spacing w:before="0" w:after="0" w:line="643" w:lineRule="exact"/>
        <w:ind w:left="100" w:right="140" w:firstLine="0"/>
      </w:pPr>
      <w:r>
        <w:rPr>
          <w:rStyle w:val="CharStyle6"/>
          <w:spacing w:val="0"/>
        </w:rPr>
        <w:t>М. С. Муравьёв Н. П. Казакова О. А. Шалимова</w:t>
      </w:r>
    </w:p>
    <w:p>
      <w:pPr>
        <w:pStyle w:val="Style5"/>
        <w:widowControl w:val="0"/>
        <w:keepNext w:val="0"/>
        <w:keepLines w:val="0"/>
        <w:shd w:val="clear" w:color="auto" w:fill="auto"/>
        <w:bidi w:val="0"/>
        <w:jc w:val="both"/>
        <w:spacing w:before="0" w:after="343"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638"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638" w:lineRule="exact"/>
        <w:ind w:left="20" w:right="20" w:firstLine="0"/>
        <w:sectPr>
          <w:footnotePr>
            <w:pos w:val="pageBottom"/>
            <w:numFmt w:val="decimal"/>
            <w:numRestart w:val="continuous"/>
          </w:footnotePr>
          <w:type w:val="continuous"/>
          <w:pgSz w:w="11906" w:h="16838"/>
          <w:pgMar w:top="1298" w:left="867" w:right="766" w:bottom="943" w:header="0" w:footer="3" w:gutter="0"/>
          <w:rtlGutter w:val="0"/>
          <w:cols w:space="720"/>
          <w:noEndnote/>
          <w:docGrid w:linePitch="360"/>
        </w:sectPr>
      </w:pPr>
      <w:r>
        <w:rPr>
          <w:lang w:val="ru-RU" w:eastAsia="ru-RU" w:bidi="ru-RU"/>
          <w:w w:val="100"/>
          <w:spacing w:val="0"/>
          <w:color w:val="000000"/>
          <w:position w:val="0"/>
        </w:rPr>
        <w:t>Заместитель председателя Комиссии: Член Комиссии:</w:t>
      </w:r>
    </w:p>
    <w:p>
      <w:pPr>
        <w:pStyle w:val="Style7"/>
        <w:widowControl w:val="0"/>
        <w:keepNext w:val="0"/>
        <w:keepLines w:val="0"/>
        <w:shd w:val="clear" w:color="auto" w:fill="auto"/>
        <w:bidi w:val="0"/>
        <w:spacing w:before="64" w:after="86"/>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17" w:lineRule="exact"/>
        <w:ind w:left="20" w:right="380" w:firstLine="1440"/>
      </w:pPr>
      <w:r>
        <w:rPr>
          <w:lang w:val="ru-RU" w:eastAsia="ru-RU" w:bidi="ru-RU"/>
          <w:w w:val="100"/>
          <w:spacing w:val="0"/>
          <w:color w:val="000000"/>
          <w:position w:val="0"/>
        </w:rPr>
        <w:t>УПРАВЛЕ</w:t>
      </w:r>
      <w:r>
        <w:rPr>
          <w:rStyle w:val="CharStyle21"/>
          <w:b/>
          <w:bCs/>
        </w:rPr>
        <w:t>НИ</w:t>
      </w:r>
      <w:r>
        <w:rPr>
          <w:lang w:val="ru-RU" w:eastAsia="ru-RU" w:bidi="ru-RU"/>
          <w:w w:val="100"/>
          <w:spacing w:val="0"/>
          <w:color w:val="000000"/>
          <w:position w:val="0"/>
        </w:rPr>
        <w:t xml:space="preserve">Е Федеральной антимонопольной службы </w:t>
      </w:r>
      <w:r>
        <w:rPr>
          <w:rStyle w:val="CharStyle13"/>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w:t>
      </w:r>
      <w:r>
        <w:rPr>
          <w:lang w:val="ru-RU" w:eastAsia="ru-RU" w:bidi="ru-RU"/>
          <w:vertAlign w:val="superscript"/>
          <w:w w:val="100"/>
          <w:spacing w:val="0"/>
          <w:color w:val="000000"/>
          <w:position w:val="0"/>
        </w:rPr>
        <w:t>рым 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Севастополю</w:t>
      </w:r>
      <w:r>
        <w:rPr>
          <w:lang w:val="ru-RU" w:eastAsia="ru-RU" w:bidi="ru-RU"/>
          <w:w w:val="100"/>
          <w:spacing w:val="0"/>
          <w:color w:val="000000"/>
          <w:position w:val="0"/>
        </w:rPr>
        <w:t xml:space="preserve"> </w:t>
      </w:r>
      <w:r>
        <w:rPr>
          <w:rStyle w:val="CharStyle13"/>
          <w:b w:val="0"/>
          <w:bCs w:val="0"/>
        </w:rPr>
        <w:t>Государственное бюджетное учреждение</w:t>
      </w:r>
    </w:p>
    <w:p>
      <w:pPr>
        <w:pStyle w:val="Style3"/>
        <w:framePr w:w="3986" w:h="1909" w:wrap="around" w:vAnchor="text" w:hAnchor="margin" w:x="-81"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86" w:h="1909" w:wrap="around" w:vAnchor="text" w:hAnchor="margin" w:x="-81" w:y="-11"/>
        <w:widowControl w:val="0"/>
        <w:keepNext w:val="0"/>
        <w:keepLines w:val="0"/>
        <w:shd w:val="clear" w:color="auto" w:fill="auto"/>
        <w:bidi w:val="0"/>
        <w:jc w:val="left"/>
        <w:spacing w:before="0" w:after="0" w:line="562" w:lineRule="exact"/>
        <w:ind w:left="20" w:right="760" w:firstLine="0"/>
      </w:pPr>
      <w:r>
        <w:rPr>
          <w:rStyle w:val="CharStyle6"/>
          <w:spacing w:val="0"/>
        </w:rPr>
        <w:t>14.11.2017 № 06/13046 На № 1-03/11 от 03.11.2017</w:t>
      </w:r>
    </w:p>
    <w:p>
      <w:pPr>
        <w:pStyle w:val="Style5"/>
        <w:widowControl w:val="0"/>
        <w:keepNext w:val="0"/>
        <w:keepLines w:val="0"/>
        <w:shd w:val="clear" w:color="auto" w:fill="auto"/>
        <w:bidi w:val="0"/>
        <w:jc w:val="left"/>
        <w:spacing w:before="0" w:after="0" w:line="317" w:lineRule="exact"/>
        <w:ind w:left="1100" w:right="540" w:firstLine="0"/>
      </w:pPr>
      <w:r>
        <w:rPr>
          <w:lang w:val="ru-RU" w:eastAsia="ru-RU" w:bidi="ru-RU"/>
          <w:w w:val="100"/>
          <w:spacing w:val="0"/>
          <w:color w:val="000000"/>
          <w:position w:val="0"/>
        </w:rPr>
        <w:t>Республики Крым «Красногвардейский психоневрологический интернат»</w:t>
      </w:r>
    </w:p>
    <w:p>
      <w:pPr>
        <w:pStyle w:val="Style5"/>
        <w:widowControl w:val="0"/>
        <w:keepNext w:val="0"/>
        <w:keepLines w:val="0"/>
        <w:shd w:val="clear" w:color="auto" w:fill="auto"/>
        <w:bidi w:val="0"/>
        <w:jc w:val="both"/>
        <w:spacing w:before="0" w:after="296" w:line="317" w:lineRule="exact"/>
        <w:ind w:left="1100" w:right="2080" w:firstLine="0"/>
      </w:pPr>
      <w:r>
        <w:rPr>
          <w:lang w:val="ru-RU" w:eastAsia="ru-RU" w:bidi="ru-RU"/>
          <w:w w:val="100"/>
          <w:spacing w:val="0"/>
          <w:color w:val="000000"/>
          <w:position w:val="0"/>
        </w:rPr>
        <w:t>297041, Республика Крым, Красногвардейский район, с. Некрасово, ул. Комсомольская, д. 15</w:t>
      </w:r>
    </w:p>
    <w:p>
      <w:pPr>
        <w:pStyle w:val="Style5"/>
        <w:numPr>
          <w:ilvl w:val="0"/>
          <w:numId w:val="17"/>
        </w:numPr>
        <w:widowControl w:val="0"/>
        <w:keepNext w:val="0"/>
        <w:keepLines w:val="0"/>
        <w:shd w:val="clear" w:color="auto" w:fill="auto"/>
        <w:bidi w:val="0"/>
        <w:jc w:val="left"/>
        <w:spacing w:before="0" w:after="0" w:line="322" w:lineRule="exact"/>
        <w:ind w:left="500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300" w:line="322" w:lineRule="exact"/>
        <w:ind w:left="5000" w:right="38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 ул. Кечкеметская, д. 198</w:t>
      </w:r>
    </w:p>
    <w:p>
      <w:pPr>
        <w:pStyle w:val="Style5"/>
        <w:numPr>
          <w:ilvl w:val="0"/>
          <w:numId w:val="17"/>
        </w:numPr>
        <w:widowControl w:val="0"/>
        <w:keepNext w:val="0"/>
        <w:keepLines w:val="0"/>
        <w:shd w:val="clear" w:color="auto" w:fill="auto"/>
        <w:bidi w:val="0"/>
        <w:jc w:val="left"/>
        <w:spacing w:before="0" w:after="0" w:line="322" w:lineRule="exact"/>
        <w:ind w:left="500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22" w:lineRule="exact"/>
        <w:ind w:left="5000" w:right="0" w:firstLine="0"/>
      </w:pPr>
      <w:r>
        <w:rPr>
          <w:lang w:val="ru-RU" w:eastAsia="ru-RU" w:bidi="ru-RU"/>
          <w:w w:val="100"/>
          <w:spacing w:val="0"/>
          <w:color w:val="000000"/>
          <w:position w:val="0"/>
        </w:rPr>
        <w:t>ООО «Тандем»</w:t>
      </w:r>
    </w:p>
    <w:p>
      <w:pPr>
        <w:pStyle w:val="Style5"/>
        <w:widowControl w:val="0"/>
        <w:keepNext w:val="0"/>
        <w:keepLines w:val="0"/>
        <w:shd w:val="clear" w:color="auto" w:fill="auto"/>
        <w:bidi w:val="0"/>
        <w:jc w:val="left"/>
        <w:spacing w:before="0" w:after="349" w:line="322" w:lineRule="exact"/>
        <w:ind w:left="5000" w:right="380" w:firstLine="0"/>
      </w:pPr>
      <w:r>
        <w:rPr>
          <w:lang w:val="ru-RU" w:eastAsia="ru-RU" w:bidi="ru-RU"/>
          <w:w w:val="100"/>
          <w:spacing w:val="0"/>
          <w:color w:val="000000"/>
          <w:position w:val="0"/>
        </w:rPr>
        <w:t>641530, Курганская обл., с. Мокроусово, ул. Механизаторов, д. 36</w:t>
      </w:r>
    </w:p>
    <w:p>
      <w:pPr>
        <w:pStyle w:val="Style5"/>
        <w:numPr>
          <w:ilvl w:val="0"/>
          <w:numId w:val="17"/>
        </w:numPr>
        <w:widowControl w:val="0"/>
        <w:keepNext w:val="0"/>
        <w:keepLines w:val="0"/>
        <w:shd w:val="clear" w:color="auto" w:fill="auto"/>
        <w:bidi w:val="0"/>
        <w:jc w:val="left"/>
        <w:spacing w:before="0" w:after="0" w:line="260" w:lineRule="exact"/>
        <w:ind w:left="5000" w:right="0" w:firstLine="0"/>
      </w:pPr>
      <w:r>
        <w:rPr>
          <w:lang w:val="ru-RU" w:eastAsia="ru-RU" w:bidi="ru-RU"/>
          <w:w w:val="100"/>
          <w:spacing w:val="0"/>
          <w:color w:val="000000"/>
          <w:position w:val="0"/>
        </w:rPr>
        <w:t xml:space="preserve"> Оператор электронной площадки:</w:t>
      </w:r>
    </w:p>
    <w:p>
      <w:pPr>
        <w:pStyle w:val="Style5"/>
        <w:widowControl w:val="0"/>
        <w:keepNext w:val="0"/>
        <w:keepLines w:val="0"/>
        <w:shd w:val="clear" w:color="auto" w:fill="auto"/>
        <w:bidi w:val="0"/>
        <w:jc w:val="left"/>
        <w:spacing w:before="0" w:after="0" w:line="326" w:lineRule="exact"/>
        <w:ind w:left="5000" w:right="380" w:firstLine="0"/>
      </w:pPr>
      <w:r>
        <w:rPr>
          <w:lang w:val="ru-RU" w:eastAsia="ru-RU" w:bidi="ru-RU"/>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jc w:val="left"/>
        <w:spacing w:before="0" w:after="120" w:line="322" w:lineRule="exact"/>
        <w:ind w:left="5000" w:right="380" w:firstLine="0"/>
      </w:pPr>
      <w:r>
        <w:rPr>
          <w:lang w:val="ru-RU" w:eastAsia="ru-RU" w:bidi="ru-RU"/>
          <w:w w:val="100"/>
          <w:spacing w:val="0"/>
          <w:color w:val="000000"/>
          <w:position w:val="0"/>
        </w:rPr>
        <w:t>115114, г. Москва, ул. Кожевническая, д. 14, стр. 5</w:t>
      </w:r>
    </w:p>
    <w:p>
      <w:pPr>
        <w:pStyle w:val="Style15"/>
        <w:widowControl w:val="0"/>
        <w:keepNext w:val="0"/>
        <w:keepLines w:val="0"/>
        <w:shd w:val="clear" w:color="auto" w:fill="auto"/>
        <w:bidi w:val="0"/>
        <w:spacing w:before="0" w:after="120"/>
        <w:ind w:left="0" w:right="20" w:firstLine="0"/>
      </w:pPr>
      <w:r>
        <w:rPr>
          <w:lang w:val="ru-RU" w:eastAsia="ru-RU" w:bidi="ru-RU"/>
          <w:w w:val="100"/>
          <w:spacing w:val="0"/>
          <w:color w:val="000000"/>
          <w:position w:val="0"/>
        </w:rPr>
        <w:t>Предписание по делу №06/4234-17 об устранении нарушений законодательства Российской Федерации о контрактной системе в сфере закупок</w:t>
      </w:r>
    </w:p>
    <w:p>
      <w:pPr>
        <w:pStyle w:val="Style5"/>
        <w:numPr>
          <w:ilvl w:val="0"/>
          <w:numId w:val="19"/>
        </w:numPr>
        <w:tabs>
          <w:tab w:leader="none" w:pos="8086" w:val="left"/>
          <w:tab w:leader="none" w:pos="8122" w:val="left"/>
        </w:tabs>
        <w:widowControl w:val="0"/>
        <w:keepNext w:val="0"/>
        <w:keepLines w:val="0"/>
        <w:shd w:val="clear" w:color="auto" w:fill="auto"/>
        <w:bidi w:val="0"/>
        <w:jc w:val="both"/>
        <w:spacing w:before="0" w:after="0" w:line="322"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9"/>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13.11.2017 по делу №06/4234-17 по итогам рассмотрения жалобы Заявителя от 03.11.2017 №1-03/11 (вх. №4812/09 от</w:t>
      </w:r>
    </w:p>
    <w:p>
      <w:pPr>
        <w:pStyle w:val="Style5"/>
        <w:numPr>
          <w:ilvl w:val="0"/>
          <w:numId w:val="21"/>
        </w:numPr>
        <w:tabs>
          <w:tab w:leader="none" w:pos="149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«Капитальное строительство Государственного бюджетного учреждения Республики Крым «Красногвардейский психоневрологический интернат» на 250 койко-мест с объектами инфраструктуры, необходимыми для его функционирования в соответствии с законодательством Российской Федерации, Республики Крым, Красногвардейский район, с.Некрасово» (номер извещения 0175200000417000131)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9"/>
        </w:rPr>
        <w:t>ици</w:t>
      </w:r>
      <w:r>
        <w:rPr>
          <w:lang w:val="ru-RU" w:eastAsia="ru-RU" w:bidi="ru-RU"/>
          <w:w w:val="100"/>
          <w:spacing w:val="0"/>
          <w:color w:val="000000"/>
          <w:position w:val="0"/>
        </w:rPr>
        <w:t>и Российской Федерации 27.02.2015 за №36262,</w:t>
      </w:r>
    </w:p>
    <w:p>
      <w:pPr>
        <w:pStyle w:val="Style5"/>
        <w:widowControl w:val="0"/>
        <w:keepNext w:val="0"/>
        <w:keepLines w:val="0"/>
        <w:shd w:val="clear" w:color="auto" w:fill="auto"/>
        <w:bidi w:val="0"/>
        <w:jc w:val="center"/>
        <w:spacing w:before="0" w:after="0" w:line="322" w:lineRule="exact"/>
        <w:ind w:left="0" w:right="0" w:firstLine="0"/>
      </w:pPr>
      <w:r>
        <w:rPr>
          <w:lang w:val="ru-RU" w:eastAsia="ru-RU" w:bidi="ru-RU"/>
          <w:w w:val="100"/>
          <w:spacing w:val="0"/>
          <w:color w:val="000000"/>
          <w:position w:val="0"/>
        </w:rPr>
        <w:t>ПРЕДПИСЫВАЕТ:</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Уполномоченного органа отменить Протокол подведения итогов электронного аукциона от 30.10.2017 №0175200000417000131-3</w:t>
        <w:softHyphen/>
        <w:t>1 (далее -Протокол), разместить информацию об отмене Протокола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открытых аукционах в электронной форме,</w:t>
        <w:br w:type="page"/>
        <w:t>открытых участникам закупки, в отношении денежных средств в размере обеспечения заявки на участие в Аукционе.</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Единой комиссии Уполномоченного органа в срок, установленный в соответствии с пунктом 1 настоящего предписания, рассмотреть вторые части заявок,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13.11.2017 по делу №06/4234-17.</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13.11.2017 по делу №06/4234-17.</w:t>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Уполномоченного органа, Оператору электронной площадки в срок до 15.12.2017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5"/>
        <w:numPr>
          <w:ilvl w:val="0"/>
          <w:numId w:val="2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06/12677.</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5"/>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79" w:val="right"/>
          <w:tab w:leader="none" w:pos="8413" w:val="right"/>
          <w:tab w:leader="none" w:pos="968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53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18"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446" w:left="891" w:right="781" w:bottom="8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1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1">
    <w:name w:val="Основной текст (5) + Полужирный,Интервал 0 pt Exact"/>
    <w:basedOn w:val="CharStyle22"/>
    <w:rPr>
      <w:b/>
      <w:bCs/>
      <w:sz w:val="21"/>
      <w:szCs w:val="21"/>
      <w:spacing w:val="1"/>
    </w:rPr>
  </w:style>
  <w:style w:type="character" w:customStyle="1" w:styleId="CharStyle12">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2) + 13 pt,Не полужирный"/>
    <w:basedOn w:val="CharStyle12"/>
    <w:rPr>
      <w:lang w:val="ru-RU" w:eastAsia="ru-RU" w:bidi="ru-RU"/>
      <w:b/>
      <w:bCs/>
      <w:sz w:val="26"/>
      <w:szCs w:val="26"/>
      <w:w w:val="100"/>
      <w:spacing w:val="0"/>
      <w:color w:val="000000"/>
      <w:position w:val="0"/>
    </w:rPr>
  </w:style>
  <w:style w:type="character" w:customStyle="1" w:styleId="CharStyle14">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14"/>
    <w:rPr>
      <w:lang w:val="en-US" w:eastAsia="en-US" w:bidi="en-US"/>
      <w:u w:val="single"/>
      <w:w w:val="100"/>
      <w:spacing w:val="0"/>
      <w:color w:val="000000"/>
      <w:position w:val="0"/>
    </w:rPr>
  </w:style>
  <w:style w:type="character" w:customStyle="1" w:styleId="CharStyle18">
    <w:name w:val="Основной текст"/>
    <w:basedOn w:val="CharStyle14"/>
    <w:rPr>
      <w:lang w:val="en-US" w:eastAsia="en-US" w:bidi="en-US"/>
      <w:w w:val="100"/>
      <w:spacing w:val="0"/>
      <w:color w:val="000000"/>
      <w:position w:val="0"/>
    </w:rPr>
  </w:style>
  <w:style w:type="character" w:customStyle="1" w:styleId="CharStyle19">
    <w:name w:val="Основной текст"/>
    <w:basedOn w:val="CharStyle14"/>
    <w:rPr>
      <w:lang w:val="ru-RU" w:eastAsia="ru-RU" w:bidi="ru-RU"/>
      <w:u w:val="single"/>
      <w:w w:val="100"/>
      <w:spacing w:val="0"/>
      <w:color w:val="000000"/>
      <w:position w:val="0"/>
    </w:rPr>
  </w:style>
  <w:style w:type="character" w:customStyle="1" w:styleId="CharStyle20">
    <w:name w:val="Основной текст"/>
    <w:basedOn w:val="CharStyle14"/>
    <w:rPr>
      <w:lang w:val="ru-RU" w:eastAsia="ru-RU" w:bidi="ru-RU"/>
      <w:u w:val="single"/>
      <w:w w:val="100"/>
      <w:spacing w:val="0"/>
      <w:color w:val="000000"/>
      <w:position w:val="0"/>
    </w:rPr>
  </w:style>
  <w:style w:type="character" w:customStyle="1" w:styleId="CharStyle21">
    <w:name w:val="Основной текст (2)"/>
    <w:basedOn w:val="CharStyle12"/>
    <w:rPr>
      <w:lang w:val="ru-RU" w:eastAsia="ru-RU" w:bidi="ru-RU"/>
      <w:u w:val="single"/>
      <w:w w:val="100"/>
      <w:spacing w:val="0"/>
      <w:color w:val="000000"/>
      <w:position w:val="0"/>
    </w:rPr>
  </w:style>
  <w:style w:type="character" w:customStyle="1" w:styleId="CharStyle22">
    <w:name w:val="Основной текст (5)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5)"/>
    <w:basedOn w:val="CharStyle22"/>
    <w:rPr>
      <w:lang w:val="ru-RU" w:eastAsia="ru-RU" w:bidi="ru-RU"/>
      <w:u w:val="single"/>
      <w:w w:val="100"/>
      <w:spacing w:val="0"/>
      <w:color w:val="000000"/>
      <w:position w:val="0"/>
    </w:rPr>
  </w:style>
  <w:style w:type="character" w:customStyle="1" w:styleId="CharStyle24">
    <w:name w:val="Основной текст (5) + 13 pt"/>
    <w:basedOn w:val="CharStyle22"/>
    <w:rPr>
      <w:lang w:val="ru-RU" w:eastAsia="ru-RU" w:bidi="ru-RU"/>
      <w:u w:val="single"/>
      <w:sz w:val="26"/>
      <w:szCs w:val="26"/>
      <w:w w:val="100"/>
      <w:spacing w:val="0"/>
      <w:color w:val="000000"/>
      <w:position w:val="0"/>
    </w:rPr>
  </w:style>
  <w:style w:type="character" w:customStyle="1" w:styleId="CharStyle25">
    <w:name w:val="Основной текст (5) + 13 pt"/>
    <w:basedOn w:val="CharStyle22"/>
    <w:rPr>
      <w:lang w:val="ru-RU" w:eastAsia="ru-RU" w:bidi="ru-RU"/>
      <w:sz w:val="26"/>
      <w:szCs w:val="26"/>
      <w:w w:val="100"/>
      <w:spacing w:val="0"/>
      <w:color w:val="000000"/>
      <w:position w:val="0"/>
    </w:rPr>
  </w:style>
  <w:style w:type="character" w:customStyle="1" w:styleId="CharStyle26">
    <w:name w:val="Основной текст (2) + Не полужирный"/>
    <w:basedOn w:val="CharStyle12"/>
    <w:rPr>
      <w:lang w:val="ru-RU" w:eastAsia="ru-RU" w:bidi="ru-RU"/>
      <w:b/>
      <w:bCs/>
      <w:w w:val="100"/>
      <w:spacing w:val="0"/>
      <w:color w:val="000000"/>
      <w:position w:val="0"/>
    </w:rPr>
  </w:style>
  <w:style w:type="character" w:customStyle="1" w:styleId="CharStyle27">
    <w:name w:val="Основной текст (5) + Полужирный"/>
    <w:basedOn w:val="CharStyle22"/>
    <w:rPr>
      <w:lang w:val="ru-RU" w:eastAsia="ru-RU" w:bidi="ru-RU"/>
      <w:b/>
      <w:bCs/>
      <w:w w:val="100"/>
      <w:spacing w:val="0"/>
      <w:color w:val="000000"/>
      <w:position w:val="0"/>
    </w:rPr>
  </w:style>
  <w:style w:type="character" w:customStyle="1" w:styleId="CharStyle28">
    <w:name w:val="Основной текст + Интервал 1 pt"/>
    <w:basedOn w:val="CharStyle14"/>
    <w:rPr>
      <w:lang w:val="ru-RU" w:eastAsia="ru-RU" w:bidi="ru-RU"/>
      <w:w w:val="100"/>
      <w:spacing w:val="30"/>
      <w:color w:val="000000"/>
      <w:position w:val="0"/>
    </w:rPr>
  </w:style>
  <w:style w:type="character" w:customStyle="1" w:styleId="CharStyle29">
    <w:name w:val="Основной текст"/>
    <w:basedOn w:val="CharStyle14"/>
    <w:rPr>
      <w:lang w:val="ru-RU" w:eastAsia="ru-RU" w:bidi="ru-RU"/>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4"/>
    <w:pPr>
      <w:widowControl w:val="0"/>
      <w:shd w:val="clear" w:color="auto" w:fill="FFFFFF"/>
      <w:spacing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12"/>
    <w:pPr>
      <w:widowControl w:val="0"/>
      <w:shd w:val="clear" w:color="auto" w:fill="FFFFFF"/>
      <w:jc w:val="center"/>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22"/>
    <w:pPr>
      <w:widowControl w:val="0"/>
      <w:shd w:val="clear" w:color="auto" w:fill="FFFFFF"/>
      <w:jc w:val="right"/>
      <w:spacing w:before="6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