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109" w:y="1611"/>
        <w:widowControl w:val="0"/>
        <w:keepNext w:val="0"/>
        <w:keepLines w:val="0"/>
        <w:shd w:val="clear" w:color="auto" w:fill="auto"/>
        <w:bidi w:val="0"/>
        <w:spacing w:before="0" w:after="180"/>
        <w:ind w:left="0" w:right="0" w:firstLine="0"/>
      </w:pPr>
      <w:r>
        <w:rPr>
          <w:rStyle w:val="CharStyle4"/>
          <w:b/>
          <w:bCs/>
        </w:rPr>
        <w:t>ФЕДЕРАЛЬНАЯ АНТИМОНОПОЛЬНАЯ СЛУЖБА</w:t>
      </w:r>
    </w:p>
    <w:p>
      <w:pPr>
        <w:pStyle w:val="Style3"/>
        <w:framePr w:w="4835" w:h="2350" w:wrap="around" w:hAnchor="margin" w:x="109" w:y="1611"/>
        <w:widowControl w:val="0"/>
        <w:keepNext w:val="0"/>
        <w:keepLines w:val="0"/>
        <w:shd w:val="clear" w:color="auto" w:fill="auto"/>
        <w:bidi w:val="0"/>
        <w:spacing w:before="0" w:after="0"/>
        <w:ind w:left="0" w:right="0" w:firstLine="0"/>
      </w:pPr>
      <w:r>
        <w:rPr>
          <w:rStyle w:val="CharStyle4"/>
          <w:b/>
          <w:bCs/>
        </w:rPr>
        <w:t>УПРАВЛЕНИЕ Федеральной антимонопольной службы по Республике Крым и городу Севастополю</w:t>
      </w:r>
    </w:p>
    <w:p>
      <w:pPr>
        <w:pStyle w:val="Style5"/>
        <w:framePr w:w="4835" w:h="2350" w:wrap="around" w:hAnchor="margin" w:x="109" w:y="1611"/>
        <w:widowControl w:val="0"/>
        <w:keepNext w:val="0"/>
        <w:keepLines w:val="0"/>
        <w:shd w:val="clear" w:color="auto" w:fill="auto"/>
        <w:bidi w:val="0"/>
        <w:spacing w:before="0" w:after="0"/>
        <w:ind w:left="0" w:right="0" w:firstLine="0"/>
      </w:pPr>
      <w:r>
        <w:rPr>
          <w:rStyle w:val="CharStyle6"/>
        </w:rPr>
        <w:t xml:space="preserve">Адрес: ул. Александра Невского, д. 1, г. Симферополь, Республика Крым, 295000 тел. (3652) 544-638, факс (3652) 252-431 </w:t>
      </w:r>
      <w:r>
        <w:rPr>
          <w:rStyle w:val="CharStyle6"/>
          <w:lang w:val="en-US" w:eastAsia="en-US" w:bidi="en-US"/>
        </w:rPr>
        <w:t xml:space="preserve">e-mail: </w:t>
      </w:r>
      <w:r>
        <w:fldChar w:fldCharType="begin"/>
      </w:r>
      <w:r>
        <w:rPr>
          <w:rStyle w:val="CharStyle6"/>
        </w:rPr>
        <w:instrText> HYPERLINK "mailto:to82@fas.gov.ru" </w:instrText>
      </w:r>
      <w:r>
        <w:fldChar w:fldCharType="separate"/>
      </w:r>
      <w:r>
        <w:rPr>
          <w:rStyle w:val="Hyperlink"/>
          <w:lang w:val="en-US" w:eastAsia="en-US" w:bidi="en-US"/>
        </w:rPr>
        <w:t>to82@fas.gov.ru</w:t>
      </w:r>
      <w:r>
        <w:fldChar w:fldCharType="end"/>
      </w:r>
    </w:p>
    <w:p>
      <w:pPr>
        <w:pStyle w:val="Style7"/>
        <w:numPr>
          <w:ilvl w:val="0"/>
          <w:numId w:val="1"/>
        </w:numPr>
        <w:widowControl w:val="0"/>
        <w:keepNext w:val="0"/>
        <w:keepLines w:val="0"/>
        <w:shd w:val="clear" w:color="auto" w:fill="auto"/>
        <w:bidi w:val="0"/>
        <w:jc w:val="left"/>
        <w:spacing w:before="1124" w:after="0" w:line="260" w:lineRule="exact"/>
        <w:ind w:left="4980" w:right="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254" w:lineRule="exact"/>
        <w:ind w:left="0" w:right="32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framePr w:w="2848" w:h="1122" w:wrap="around" w:vAnchor="text" w:hAnchor="margin" w:x="61" w:y="344"/>
        <w:widowControl w:val="0"/>
        <w:keepNext w:val="0"/>
        <w:keepLines w:val="0"/>
        <w:shd w:val="clear" w:color="auto" w:fill="auto"/>
        <w:bidi w:val="0"/>
        <w:jc w:val="both"/>
        <w:spacing w:before="0" w:after="0" w:line="562" w:lineRule="exact"/>
        <w:ind w:left="20" w:right="220" w:firstLine="0"/>
      </w:pPr>
      <w:r>
        <w:rPr>
          <w:rStyle w:val="CharStyle8"/>
          <w:spacing w:val="0"/>
        </w:rPr>
        <w:t>16.11.2017 №06/13161 На № б/н от 07.11.2017</w:t>
      </w:r>
    </w:p>
    <w:p>
      <w:pPr>
        <w:pStyle w:val="Style7"/>
        <w:widowControl w:val="0"/>
        <w:keepNext w:val="0"/>
        <w:keepLines w:val="0"/>
        <w:shd w:val="clear" w:color="auto" w:fill="auto"/>
        <w:bidi w:val="0"/>
        <w:jc w:val="left"/>
        <w:spacing w:before="0" w:after="244" w:line="326" w:lineRule="exact"/>
        <w:ind w:left="4980" w:right="320"/>
      </w:pPr>
      <w:r>
        <w:rPr>
          <w:lang w:val="ru-RU" w:eastAsia="ru-RU" w:bidi="ru-RU"/>
          <w:w w:val="100"/>
          <w:spacing w:val="0"/>
          <w:color w:val="000000"/>
          <w:position w:val="0"/>
        </w:rPr>
        <w:t>253053, Республика Крым, г. Симферополь, ул. Киевская, д. 1 А</w:t>
      </w:r>
    </w:p>
    <w:p>
      <w:pPr>
        <w:pStyle w:val="Style7"/>
        <w:numPr>
          <w:ilvl w:val="0"/>
          <w:numId w:val="1"/>
        </w:numPr>
        <w:widowControl w:val="0"/>
        <w:keepNext w:val="0"/>
        <w:keepLines w:val="0"/>
        <w:shd w:val="clear" w:color="auto" w:fill="auto"/>
        <w:bidi w:val="0"/>
        <w:jc w:val="left"/>
        <w:spacing w:before="0" w:after="0" w:line="322" w:lineRule="exact"/>
        <w:ind w:left="4980" w:right="0" w:hanging="278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4980" w:right="1320" w:hanging="278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4980" w:right="32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left"/>
        <w:spacing w:before="0" w:after="240" w:line="322" w:lineRule="exact"/>
        <w:ind w:left="4980" w:right="0" w:firstLine="0"/>
      </w:pPr>
      <w:r>
        <w:rPr>
          <w:lang w:val="ru-RU" w:eastAsia="ru-RU" w:bidi="ru-RU"/>
          <w:w w:val="100"/>
          <w:spacing w:val="0"/>
          <w:color w:val="000000"/>
          <w:position w:val="0"/>
        </w:rPr>
        <w:t>ул. Кечкеметская, д. 198 (1 этаж)</w:t>
      </w:r>
    </w:p>
    <w:p>
      <w:pPr>
        <w:pStyle w:val="Style7"/>
        <w:numPr>
          <w:ilvl w:val="0"/>
          <w:numId w:val="1"/>
        </w:numPr>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22" w:lineRule="exact"/>
        <w:ind w:left="4980" w:right="0" w:firstLine="0"/>
      </w:pPr>
      <w:r>
        <w:rPr>
          <w:lang w:val="ru-RU" w:eastAsia="ru-RU" w:bidi="ru-RU"/>
          <w:w w:val="100"/>
          <w:spacing w:val="0"/>
          <w:color w:val="000000"/>
          <w:position w:val="0"/>
        </w:rPr>
        <w:t>ООО «ОВК ЮГ»</w:t>
      </w:r>
    </w:p>
    <w:p>
      <w:pPr>
        <w:pStyle w:val="Style7"/>
        <w:widowControl w:val="0"/>
        <w:keepNext w:val="0"/>
        <w:keepLines w:val="0"/>
        <w:shd w:val="clear" w:color="auto" w:fill="auto"/>
        <w:bidi w:val="0"/>
        <w:jc w:val="left"/>
        <w:spacing w:before="0" w:after="244" w:line="322" w:lineRule="exact"/>
        <w:ind w:left="4980" w:right="0" w:firstLine="0"/>
      </w:pPr>
      <w:r>
        <w:rPr>
          <w:lang w:val="ru-RU" w:eastAsia="ru-RU" w:bidi="ru-RU"/>
          <w:w w:val="100"/>
          <w:spacing w:val="0"/>
          <w:color w:val="000000"/>
          <w:position w:val="0"/>
        </w:rPr>
        <w:t>г. Краснодар, проезд Брюсова, д. 22/3,</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Электронная площадка:</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20" w:right="0" w:firstLine="0"/>
      </w:pPr>
      <w:r>
        <w:rPr>
          <w:lang w:val="ru-RU" w:eastAsia="ru-RU" w:bidi="ru-RU"/>
          <w:w w:val="100"/>
          <w:spacing w:val="0"/>
          <w:color w:val="000000"/>
          <w:position w:val="0"/>
        </w:rPr>
        <w:t>Решение по делу №06/4272-17 о нарушении законодательства Российской Федерации о контрактной системе в сфере закупок</w:t>
      </w:r>
    </w:p>
    <w:p>
      <w:pPr>
        <w:pStyle w:val="Style7"/>
        <w:numPr>
          <w:ilvl w:val="0"/>
          <w:numId w:val="3"/>
        </w:numPr>
        <w:tabs>
          <w:tab w:leader="none" w:pos="9007" w:val="center"/>
          <w:tab w:leader="none" w:pos="8071" w:val="left"/>
        </w:tabs>
        <w:widowControl w:val="0"/>
        <w:keepNext w:val="0"/>
        <w:keepLines w:val="0"/>
        <w:shd w:val="clear" w:color="auto" w:fill="auto"/>
        <w:bidi w:val="0"/>
        <w:jc w:val="both"/>
        <w:spacing w:before="0" w:after="137"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line="317"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 члена Комиссии:</w:t>
      </w:r>
      <w:r>
        <w:br w:type="page"/>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Уполномоченного органа Е. В. Купаревой (по доверенности),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Заказчика З. Ш. Водотыки (по доверенности), представители Заявителя на заседание Комиссии не явились, — рассмотрев жалобу Заявителя от 07.11.2017 (вх. №1498/10 от 08.11.2017) на действия Заказчика при проведении электронного аукциона «Выполнение строительно-монтажных работ по объекту «Капитальный ремонт сетей водоснабжения по ул. Таврическая, г. Красноперекопск»» (номер извещения 0175200000417000499)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jc w:val="both"/>
        <w:spacing w:before="0" w:after="0" w:line="322" w:lineRule="exact"/>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2"/>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к компонентам товара и (или) испытаниям товара и (или) показателям (по позициям: бетон тяжелый класс В7,5, бетон тяжелый класс В20, бетон тяжелый класс В25, бетон тяжелый класс В22,5, болты с гайками и шайбами строительные) значения которых становятся известными при испытании определенной партии товара после его производства а также противоречат требованиям ГОСТов,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09.11.2017 №06/12755, направленное Заявителю, Заказчику, Уполномоченному органу,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15:20 13.11.2017. На основании пункта 3.32 Административного регламента от 19.11.2014 №727/14 по собственной инициативе Комиссии для выяснения обстоятельств, имеющих значение для принятия решения, в заседании Комиссии объявлен перерыв до 15:20 14.11.2017.</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20.10.2017;</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- 27 706 183,54 рублей;</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08.11.2017 08:00, дата окончания срока рассмотрения первых частей заявок участников: 14.11.2017, дата проведения Аукциона: 17.11.2017;</w:t>
      </w:r>
    </w:p>
    <w:p>
      <w:pPr>
        <w:pStyle w:val="Style7"/>
        <w:numPr>
          <w:ilvl w:val="0"/>
          <w:numId w:val="9"/>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на участие в Аукционе подано 3 заявки, из них по результатам рассмотрения первых частей заявок участников 2 заявки признаны не соответствующими документации об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техническом задании документации об Аукционе установлены требования к компонентам товара и (или) испытаниям товара и (или) показателям (по позициям: бетон тяжелый класс В7,5, бетон тяжелый класс В20, бетон тяжелый класс В25, бетон тяжелый класс В22,5, болты с гайками и шайбами строительные) значения которых становятся известными при испытании определенной партии товара после его производства а также противоречат требованиям ГОСТов, что нарушает требования Закона о контрактной системе и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6 статьи 66 Закона о контрактной системе требовать от участника электронного аукциона предоставления иных документов и информации, за исключением предусмотренных частями 3 и 5 статьи 66 Закона о контрактной системе документов и информации, не допускается.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1"/>
        </w:numPr>
        <w:tabs>
          <w:tab w:leader="none" w:pos="1302"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1"/>
        </w:numPr>
        <w:tabs>
          <w:tab w:leader="none" w:pos="1254"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следующее требование о соответствии товаров, используемых при выполнении работ по указанным Заявителем в жалобе, например: </w:t>
      </w:r>
      <w:r>
        <w:rPr>
          <w:rStyle w:val="CharStyle13"/>
        </w:rPr>
        <w:t>«...</w:t>
      </w:r>
    </w:p>
    <w:p>
      <w:pPr>
        <w:pStyle w:val="Style14"/>
        <w:widowControl w:val="0"/>
        <w:keepNext w:val="0"/>
        <w:keepLines w:val="0"/>
        <w:shd w:val="clear" w:color="auto" w:fill="auto"/>
        <w:bidi w:val="0"/>
        <w:spacing w:before="0" w:after="99" w:line="180" w:lineRule="exact"/>
        <w:ind w:left="20" w:right="0" w:firstLine="860"/>
      </w:pPr>
      <w:r>
        <w:rPr>
          <w:lang w:val="ru-RU" w:eastAsia="ru-RU" w:bidi="ru-RU"/>
          <w:w w:val="100"/>
          <w:spacing w:val="0"/>
          <w:color w:val="000000"/>
          <w:position w:val="0"/>
        </w:rPr>
        <w:t>Болты с гайками и шайбами строительные. Должны соответствовать ГОСТ Р 52643-2006. Болты должны быть класса п рочности: 10.9/12.9. Гайки должны иметь класс прочности: 10/12. На поверхности болтов, гаек и шайб не должно быть трещин, окалины, ржавчины, заусенцев, вмятин и забоин на резьбе. Заусенцы на опорной поверхности головок болтов и на головках болтов, выходящие за пределы опорной шайбы, и на поверхностях гаек и шайб не допускаются. Допускается применять металлические или неметаллические покрытия болтов, гаек и шайб, при этом покрытия должны быть однородными по всей поверхности изделия, не должны иметь отслоений, вздутий, наплывов, трещин, несплошностей и шелушения. На поверхности изделия не допускается наличие остатков технологической смеси и наплавов.</w:t>
      </w:r>
    </w:p>
    <w:p>
      <w:pPr>
        <w:pStyle w:val="Style14"/>
        <w:widowControl w:val="0"/>
        <w:keepNext w:val="0"/>
        <w:keepLines w:val="0"/>
        <w:shd w:val="clear" w:color="auto" w:fill="auto"/>
        <w:bidi w:val="0"/>
        <w:spacing w:before="0" w:after="184" w:line="230" w:lineRule="exact"/>
        <w:ind w:left="0" w:right="20" w:firstLine="860"/>
      </w:pPr>
      <w:r>
        <w:rPr>
          <w:lang w:val="ru-RU" w:eastAsia="ru-RU" w:bidi="ru-RU"/>
          <w:w w:val="100"/>
          <w:spacing w:val="0"/>
          <w:color w:val="000000"/>
          <w:position w:val="0"/>
        </w:rPr>
        <w:t xml:space="preserve">Бетон тяжелый, класс В7,5. Требуется соответствие ГОСТ 26633-2015. В качестве вяжущих материалов должен применяться сульфатостойкий портландцемент по ГОСТ 22266-2013.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использовать портландцемент с минеральными добавками. Щебень, в случае его применения в качестве крупного заполнителя, должен быть из осадочных пород. Наибольшая крупность заполнителя: более 40 мм. Применяемый цемент: ЦЕМ </w:t>
      </w:r>
      <w:r>
        <w:rPr>
          <w:lang w:val="en-US" w:eastAsia="en-US" w:bidi="en-US"/>
          <w:w w:val="100"/>
          <w:spacing w:val="0"/>
          <w:color w:val="000000"/>
          <w:position w:val="0"/>
        </w:rPr>
        <w:t>II</w:t>
      </w:r>
      <w:r>
        <w:rPr>
          <w:lang w:val="ru-RU" w:eastAsia="ru-RU" w:bidi="ru-RU"/>
          <w:w w:val="100"/>
          <w:spacing w:val="0"/>
          <w:color w:val="000000"/>
          <w:position w:val="0"/>
        </w:rPr>
        <w:t xml:space="preserve">/А СС /ЦЕМ I СС / ЦЕМ </w:t>
      </w:r>
      <w:r>
        <w:rPr>
          <w:lang w:val="en-US" w:eastAsia="en-US" w:bidi="en-US"/>
          <w:w w:val="100"/>
          <w:spacing w:val="0"/>
          <w:color w:val="000000"/>
          <w:position w:val="0"/>
        </w:rPr>
        <w:t>II</w:t>
      </w:r>
      <w:r>
        <w:rPr>
          <w:lang w:val="ru-RU" w:eastAsia="ru-RU" w:bidi="ru-RU"/>
          <w:w w:val="100"/>
          <w:spacing w:val="0"/>
          <w:color w:val="000000"/>
          <w:position w:val="0"/>
        </w:rPr>
        <w:t>/В СС.</w:t>
      </w:r>
    </w:p>
    <w:p>
      <w:pPr>
        <w:pStyle w:val="Style14"/>
        <w:widowControl w:val="0"/>
        <w:keepNext w:val="0"/>
        <w:keepLines w:val="0"/>
        <w:shd w:val="clear" w:color="auto" w:fill="auto"/>
        <w:bidi w:val="0"/>
        <w:spacing w:before="0" w:after="180" w:line="226" w:lineRule="exact"/>
        <w:ind w:left="0" w:right="20" w:firstLine="860"/>
      </w:pPr>
      <w:r>
        <w:rPr>
          <w:lang w:val="ru-RU" w:eastAsia="ru-RU" w:bidi="ru-RU"/>
          <w:w w:val="100"/>
          <w:spacing w:val="0"/>
          <w:color w:val="000000"/>
          <w:position w:val="0"/>
        </w:rPr>
        <w:t xml:space="preserve">Бетон тяжелый, класс В20. Требуется соответствие ГОСТ 26633-2015. В качестве вяжущих материалов должен применяться сульфатостойкий портландцемент по ГОСТ 22266-2013.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использовать портландцемент с минеральными добавками. Щебень, в случае его применения в качестве крупного заполнителя, должен быть из осадочных пород. Наибольшая крупность заполнителя: 20 мм. Применяемый цемент: ЦЕМ I СС / ЦЕМ </w:t>
      </w:r>
      <w:r>
        <w:rPr>
          <w:lang w:val="en-US" w:eastAsia="en-US" w:bidi="en-US"/>
          <w:w w:val="100"/>
          <w:spacing w:val="0"/>
          <w:color w:val="000000"/>
          <w:position w:val="0"/>
        </w:rPr>
        <w:t>II</w:t>
      </w:r>
      <w:r>
        <w:rPr>
          <w:lang w:val="ru-RU" w:eastAsia="ru-RU" w:bidi="ru-RU"/>
          <w:w w:val="100"/>
          <w:spacing w:val="0"/>
          <w:color w:val="000000"/>
          <w:position w:val="0"/>
        </w:rPr>
        <w:t xml:space="preserve">/А СС / ЦЕМ </w:t>
      </w:r>
      <w:r>
        <w:rPr>
          <w:lang w:val="en-US" w:eastAsia="en-US" w:bidi="en-US"/>
          <w:w w:val="100"/>
          <w:spacing w:val="0"/>
          <w:color w:val="000000"/>
          <w:position w:val="0"/>
        </w:rPr>
        <w:t>II</w:t>
      </w:r>
      <w:r>
        <w:rPr>
          <w:lang w:val="ru-RU" w:eastAsia="ru-RU" w:bidi="ru-RU"/>
          <w:w w:val="100"/>
          <w:spacing w:val="0"/>
          <w:color w:val="000000"/>
          <w:position w:val="0"/>
        </w:rPr>
        <w:t>/В СС.</w:t>
      </w:r>
    </w:p>
    <w:p>
      <w:pPr>
        <w:pStyle w:val="Style14"/>
        <w:widowControl w:val="0"/>
        <w:keepNext w:val="0"/>
        <w:keepLines w:val="0"/>
        <w:shd w:val="clear" w:color="auto" w:fill="auto"/>
        <w:bidi w:val="0"/>
        <w:spacing w:before="0" w:after="176" w:line="226" w:lineRule="exact"/>
        <w:ind w:left="0" w:right="20" w:firstLine="860"/>
      </w:pPr>
      <w:r>
        <w:rPr>
          <w:lang w:val="ru-RU" w:eastAsia="ru-RU" w:bidi="ru-RU"/>
          <w:w w:val="100"/>
          <w:spacing w:val="0"/>
          <w:color w:val="000000"/>
          <w:position w:val="0"/>
        </w:rPr>
        <w:t xml:space="preserve">Бетон тяжелый, класс В25. Требуется соответствие ГОСТ 26633-2015. В качестве вяжущих материалов должен применяться сульфатостойкий портландцемент по ГОСТ 22266-2013. В качестве крупных заполнителей для бетонов необходимо применять щебень или гравий из плотных горных пород по ГОСТ 8267-93. 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использовать портландцемент с минеральными добавками. Щебень, в случае его применения в качестве крупного заполнителя, должен быть из осадочных пород. Наибольшая крупность заполнителя: 20 мм. Применяемый цемент: ЦЕМ </w:t>
      </w:r>
      <w:r>
        <w:rPr>
          <w:lang w:val="en-US" w:eastAsia="en-US" w:bidi="en-US"/>
          <w:w w:val="100"/>
          <w:spacing w:val="0"/>
          <w:color w:val="000000"/>
          <w:position w:val="0"/>
        </w:rPr>
        <w:t>II</w:t>
      </w:r>
      <w:r>
        <w:rPr>
          <w:lang w:val="ru-RU" w:eastAsia="ru-RU" w:bidi="ru-RU"/>
          <w:w w:val="100"/>
          <w:spacing w:val="0"/>
          <w:color w:val="000000"/>
          <w:position w:val="0"/>
        </w:rPr>
        <w:t xml:space="preserve">/А СС /ЦЕМ I СС / ЦЕМ </w:t>
      </w:r>
      <w:r>
        <w:rPr>
          <w:lang w:val="en-US" w:eastAsia="en-US" w:bidi="en-US"/>
          <w:w w:val="100"/>
          <w:spacing w:val="0"/>
          <w:color w:val="000000"/>
          <w:position w:val="0"/>
        </w:rPr>
        <w:t>II</w:t>
      </w:r>
      <w:r>
        <w:rPr>
          <w:lang w:val="ru-RU" w:eastAsia="ru-RU" w:bidi="ru-RU"/>
          <w:w w:val="100"/>
          <w:spacing w:val="0"/>
          <w:color w:val="000000"/>
          <w:position w:val="0"/>
        </w:rPr>
        <w:t>/В СС.</w:t>
      </w:r>
    </w:p>
    <w:p>
      <w:pPr>
        <w:pStyle w:val="Style14"/>
        <w:widowControl w:val="0"/>
        <w:keepNext w:val="0"/>
        <w:keepLines w:val="0"/>
        <w:shd w:val="clear" w:color="auto" w:fill="auto"/>
        <w:bidi w:val="0"/>
        <w:spacing w:before="0" w:after="0" w:line="230" w:lineRule="exact"/>
        <w:ind w:left="0" w:right="20" w:firstLine="860"/>
      </w:pPr>
      <w:r>
        <w:rPr>
          <w:lang w:val="ru-RU" w:eastAsia="ru-RU" w:bidi="ru-RU"/>
          <w:w w:val="100"/>
          <w:spacing w:val="0"/>
          <w:color w:val="000000"/>
          <w:position w:val="0"/>
        </w:rPr>
        <w:t xml:space="preserve">Бетон тяжелый, класс В22,5. Требуется соответствие ГОСТ 26633-2015. В качестве вяжущих материалов должен применяться цемент по ГОСТ 31108-2016. Допускается использовать шлакопортландцемент в качестве вяжущего материала по ГОСТ 31108-2016. В качестве крупных заполнителей для бетонов необходимо применять щебень или гравий из плотных горных пород по ГОСТ 8267-93. Марка по морозостойкости бетона должна быть не более </w:t>
      </w:r>
      <w:r>
        <w:rPr>
          <w:lang w:val="en-US" w:eastAsia="en-US" w:bidi="en-US"/>
          <w:w w:val="100"/>
          <w:spacing w:val="0"/>
          <w:color w:val="000000"/>
          <w:position w:val="0"/>
        </w:rPr>
        <w:t xml:space="preserve">F1200. </w:t>
      </w:r>
      <w:r>
        <w:rPr>
          <w:lang w:val="ru-RU" w:eastAsia="ru-RU" w:bidi="ru-RU"/>
          <w:w w:val="100"/>
          <w:spacing w:val="0"/>
          <w:color w:val="000000"/>
          <w:position w:val="0"/>
        </w:rPr>
        <w:t>В качестве мелкого заполнителя для бетона необходимо применять природный песок. Песок природный, применяемый в качестве мелкого заполнителя должен соответствовать ГОСТ 8736-2014. Допускается наличие воздухововлекающих (газообразующих) добавок. Щебень, в случае его применения в качестве крупного заполнителя, должен быть из осадочных пород. Наибольшая крупность заполнителя: 20 мм. Применяемый цемент: ЦЕМ I - ЦЕМ III.</w:t>
      </w:r>
    </w:p>
    <w:p>
      <w:pPr>
        <w:pStyle w:val="Style7"/>
        <w:widowControl w:val="0"/>
        <w:keepNext w:val="0"/>
        <w:keepLines w:val="0"/>
        <w:shd w:val="clear" w:color="auto" w:fill="auto"/>
        <w:bidi w:val="0"/>
        <w:jc w:val="both"/>
        <w:spacing w:before="0" w:after="0" w:line="322" w:lineRule="exact"/>
        <w:ind w:left="0" w:right="0" w:firstLine="860"/>
      </w:pPr>
      <w:r>
        <w:rPr>
          <w:rStyle w:val="CharStyle13"/>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изучив документацию об Аукционе, ответы на запросы о даче разъяснений положений документации об Аукционе, размещенные Заказчиком на официальном сайте, установила ненадлежащее описание Заказчиком товаров, используемых при выполнении работ, указанных Заявителем в жалобе по позициям: бетон тяжелый класс В20, бетон тяжелый класс В7,5, бетон тяжелый класс В25 в части указания Заказчиком требования на необходимость применения портландцемента с минеральными добавками, но без конкретизации выбора минеральных добавок, чем нарушены требования части 6 статьи 66 Закона о контрактной системе.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Указанные требования приводят к ограничению количества участников закупки, поскольку Закон о контрактной системе не обязывает участника закупки при заполнении заявки иметь в наличии товар, предлагаемый к использованию при выполнении работ, для представления подробных сведений о веществах, результатах испытаний, технологических процессов, материалов, применяемых при</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изготовлении такого товара.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частью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а также в составе жалобы Заявителем не представлены объективных доказательств и документально не подтверждены доводы, изложенные в жалобе, свидетельствующих о нарушении Заказчиком норм Закона о контрактной системе посредством установления требований к товарам, которые, по мнению Заявителя, влекут за собой ограничение количества участников закупки, являются избыточными и противоречат положениям соответствующих стандартов по позициям: бетон тяжелый класс В22,5, болты с гайками и шайбами строительные и невозможности формирования заявки на участие в электронном аукционе ввиду установления таких требований.</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Таким образом, Комиссия приходит к выводу о том, что доводы жалобы являются обоснованными частично.</w:t>
      </w:r>
    </w:p>
    <w:p>
      <w:pPr>
        <w:pStyle w:val="Style7"/>
        <w:numPr>
          <w:ilvl w:val="0"/>
          <w:numId w:val="13"/>
        </w:numPr>
        <w:tabs>
          <w:tab w:leader="none" w:pos="1192" w:val="left"/>
        </w:tabs>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numPr>
          <w:ilvl w:val="1"/>
          <w:numId w:val="13"/>
        </w:numPr>
        <w:tabs>
          <w:tab w:leader="none" w:pos="1403" w:val="lef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2 части 1 статьи 64 Закона о контрактной системе документация об электронном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изменяются.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Неустановление Заказчиком надлежащей Инструкции по заполнению заявки может привести возникновению у участников закупки ошибок технического характера при заполнении и формировании своих заявок, что в свою очередь может привести к признанию таких заявок не соответствующими установленным</w:t>
      </w:r>
    </w:p>
    <w:p>
      <w:pPr>
        <w:pStyle w:val="Style7"/>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Заказчиком требованиям</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Вместе в тем, положения Закона о контрактной системе не предусматривают требований к определению конкретной формы инструкции.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 xml:space="preserve">Комиссия, изучив «ИНСТРУКЦИЮ УЧАСТНИКУ ЗАКУПКИ ПО ЗАПОЛНЕНИЮ ЗАЯВКИ НА УЧАСТИЕ В АУКЦИОНЕ В ЭЛЕКТРОННОМ ФОРМЕ», содержащуюся в документации об Аукционе, установила, что инструкция по заполнению первых частей заявок участников не содержит описание действий участника закупки при использовании Заказчиком обозначения (знака) «±», установленного Заказчиком в значении показателя «Толщина </w:t>
      </w:r>
      <w:r>
        <w:rPr>
          <w:rStyle w:val="CharStyle16"/>
        </w:rPr>
        <w:t>h»</w:t>
      </w:r>
      <w:r>
        <w:rPr>
          <w:lang w:val="en-US" w:eastAsia="en-US" w:bidi="en-US"/>
          <w:w w:val="100"/>
          <w:spacing w:val="0"/>
          <w:color w:val="000000"/>
          <w:position w:val="0"/>
        </w:rPr>
        <w:t xml:space="preserve"> </w:t>
      </w:r>
      <w:r>
        <w:rPr>
          <w:lang w:val="ru-RU" w:eastAsia="ru-RU" w:bidi="ru-RU"/>
          <w:w w:val="100"/>
          <w:spacing w:val="0"/>
          <w:color w:val="000000"/>
          <w:position w:val="0"/>
        </w:rPr>
        <w:t>по номенклатурной позиции «Шпала», а также действий участника закупки в данном случае</w:t>
      </w:r>
      <w:r>
        <w:rPr>
          <w:rStyle w:val="CharStyle17"/>
        </w:rPr>
        <w:t>.</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Отсутствие надлежащей инструкции по заполнению заявки на участие в Аукционе ограничивает возможность участников закупки надлежаще подготовить заявку на участие в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Действия Заказчика, не установившем в документации об Аукционе надлежащую инструкцию по заполнению заявки, нарушает требования пункта 2 части 1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180" w:line="322" w:lineRule="exact"/>
        <w:ind w:left="0" w:right="20" w:firstLine="860"/>
      </w:pPr>
      <w:r>
        <w:rPr>
          <w:lang w:val="ru-RU" w:eastAsia="ru-RU" w:bidi="ru-RU"/>
          <w:w w:val="100"/>
          <w:spacing w:val="0"/>
          <w:color w:val="000000"/>
          <w:position w:val="0"/>
        </w:rPr>
        <w:t>Вместе с тем, выявленное нарушение не повлияло на результаты определения поставщика (подрядчика, исполнителя).</w:t>
      </w:r>
    </w:p>
    <w:p>
      <w:pPr>
        <w:pStyle w:val="Style7"/>
        <w:numPr>
          <w:ilvl w:val="1"/>
          <w:numId w:val="13"/>
        </w:numPr>
        <w:tabs>
          <w:tab w:leader="none" w:pos="1388" w:val="left"/>
        </w:tabs>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Частью 4 статьи 64 Закона о контрактной системе предусмотрено, что к документации об электронном аукционе прилагается проект контракта, который является неотъемлемой частью этой документации.</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соответствии с требованиям частей 1, 2 статьи 70 Закона о контрактной системе по результатам проведения аукциона заказчик заключает контракт с победителем аукциона путем внесения в проект контракта цены, предложенной победителем, и информации о товаре (товарном знаке и (или) конкретных показателях товара), указанной в заявке участника-победителя, т. е. на стадии заключения контракта не предусмотрена возможность изменения заказчиком других положений проекта контракта, кроме указанных, по истечении срока для внесения изменений в документацию об электронном аукционе.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В силу части 5 статьи 63 Закона о контрактной системе в извещении о проведении электронного аукциона указывается информация, указанная в статье 42</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пунктом 3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идентификационный код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Частью 1 статьи 23 Закона о контрактной системе определено, что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Таким образом, Заказчик обязан включить в проект контракта идентификационный код закупки</w:t>
      </w:r>
    </w:p>
    <w:p>
      <w:pPr>
        <w:pStyle w:val="Style18"/>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0"/>
        </w:rPr>
        <w:t>В извещении о проведении Аукци</w:t>
      </w:r>
      <w:r>
        <w:rPr>
          <w:lang w:val="ru-RU" w:eastAsia="ru-RU" w:bidi="ru-RU"/>
          <w:w w:val="100"/>
          <w:spacing w:val="0"/>
          <w:color w:val="000000"/>
          <w:position w:val="0"/>
        </w:rPr>
        <w:t>она Заказчик указал: «.</w:t>
      </w:r>
    </w:p>
    <w:tbl>
      <w:tblPr>
        <w:tblOverlap w:val="never"/>
        <w:tblLayout w:type="fixed"/>
        <w:jc w:val="center"/>
      </w:tblPr>
      <w:tblGrid>
        <w:gridCol w:w="4829"/>
        <w:gridCol w:w="5395"/>
      </w:tblGrid>
      <w:tr>
        <w:trPr>
          <w:trHeight w:val="331"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1"/>
              </w:rPr>
              <w:t>Условия контракта</w:t>
            </w:r>
          </w:p>
        </w:tc>
        <w:tc>
          <w:tcPr>
            <w:shd w:val="clear" w:color="auto" w:fill="FFFFFF"/>
            <w:tcBorders>
              <w:left w:val="single" w:sz="4"/>
            </w:tcBorders>
            <w:vAlign w:val="top"/>
          </w:tcPr>
          <w:p>
            <w:pPr>
              <w:framePr w:w="10224" w:wrap="notBeside" w:vAnchor="text" w:hAnchor="text" w:xAlign="center" w:y="1"/>
              <w:widowControl w:val="0"/>
              <w:rPr>
                <w:sz w:val="10"/>
                <w:szCs w:val="10"/>
              </w:rPr>
            </w:pPr>
          </w:p>
        </w:tc>
      </w:tr>
      <w:tr>
        <w:trPr>
          <w:trHeight w:val="298" w:hRule="exact"/>
        </w:trPr>
        <w:tc>
          <w:tcPr>
            <w:shd w:val="clear" w:color="auto" w:fill="FFFFFF"/>
            <w:tcBorders>
              <w:left w:val="single" w:sz="4"/>
              <w:top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224" w:wrap="notBeside" w:vAnchor="text" w:hAnchor="text" w:xAlign="center" w:y="1"/>
              <w:widowControl w:val="0"/>
              <w:rPr>
                <w:sz w:val="10"/>
                <w:szCs w:val="10"/>
              </w:rPr>
            </w:pPr>
          </w:p>
        </w:tc>
      </w:tr>
      <w:tr>
        <w:trPr>
          <w:trHeight w:val="307" w:hRule="exact"/>
        </w:trPr>
        <w:tc>
          <w:tcPr>
            <w:shd w:val="clear" w:color="auto" w:fill="FFFFFF"/>
            <w:tcBorders>
              <w:lef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2"/>
              </w:rPr>
              <w:t>Идентификационный код закупки</w:t>
            </w:r>
          </w:p>
        </w:tc>
        <w:tc>
          <w:tcPr>
            <w:shd w:val="clear" w:color="auto" w:fill="FFFFFF"/>
            <w:tcBorders>
              <w:left w:val="single" w:sz="4"/>
              <w:right w:val="single" w:sz="4"/>
              <w:top w:val="single" w:sz="4"/>
            </w:tcBorders>
            <w:vAlign w:val="bottom"/>
          </w:tcPr>
          <w:p>
            <w:pPr>
              <w:pStyle w:val="Style7"/>
              <w:framePr w:w="10224" w:wrap="notBeside" w:vAnchor="text" w:hAnchor="text" w:xAlign="center" w:y="1"/>
              <w:widowControl w:val="0"/>
              <w:keepNext w:val="0"/>
              <w:keepLines w:val="0"/>
              <w:shd w:val="clear" w:color="auto" w:fill="auto"/>
              <w:bidi w:val="0"/>
              <w:jc w:val="left"/>
              <w:spacing w:before="0" w:after="0" w:line="210" w:lineRule="exact"/>
              <w:ind w:left="280" w:right="0" w:firstLine="0"/>
            </w:pPr>
            <w:r>
              <w:rPr>
                <w:rStyle w:val="CharStyle22"/>
              </w:rPr>
              <w:t>172910205728191020100100551304399466</w:t>
            </w:r>
          </w:p>
        </w:tc>
      </w:tr>
      <w:tr>
        <w:trPr>
          <w:trHeight w:val="331" w:hRule="exact"/>
        </w:trPr>
        <w:tc>
          <w:tcPr>
            <w:shd w:val="clear" w:color="auto" w:fill="FFFFFF"/>
            <w:tcBorders>
              <w:left w:val="single" w:sz="4"/>
              <w:top w:val="single" w:sz="4"/>
              <w:bottom w:val="single" w:sz="4"/>
            </w:tcBorders>
            <w:vAlign w:val="top"/>
          </w:tcPr>
          <w:p>
            <w:pPr>
              <w:framePr w:w="10224"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10224" w:wrap="notBeside" w:vAnchor="text" w:hAnchor="text" w:xAlign="center" w:y="1"/>
              <w:widowControl w:val="0"/>
              <w:rPr>
                <w:sz w:val="10"/>
                <w:szCs w:val="10"/>
              </w:rPr>
            </w:pPr>
          </w:p>
        </w:tc>
      </w:tr>
    </w:tbl>
    <w:p>
      <w:pPr>
        <w:pStyle w:val="Style18"/>
        <w:framePr w:w="10224" w:wrap="notBeside" w:vAnchor="text" w:hAnchor="text" w:xAlign="center" w:y="1"/>
        <w:widowControl w:val="0"/>
        <w:keepNext w:val="0"/>
        <w:keepLines w:val="0"/>
        <w:shd w:val="clear" w:color="auto" w:fill="auto"/>
        <w:bidi w:val="0"/>
        <w:jc w:val="left"/>
        <w:spacing w:before="0" w:after="0" w:line="260" w:lineRule="exact"/>
        <w:ind w:left="0" w:right="0" w:firstLine="0"/>
      </w:pPr>
      <w:r>
        <w:rPr>
          <w:lang w:val="ru-RU" w:eastAsia="ru-RU" w:bidi="ru-RU"/>
          <w:w w:val="100"/>
          <w:spacing w:val="0"/>
          <w:color w:val="000000"/>
          <w:position w:val="0"/>
        </w:rPr>
        <w:t>.» (цитата извещения о проведении Аукциона).</w:t>
      </w:r>
    </w:p>
    <w:p>
      <w:pPr>
        <w:widowControl w:val="0"/>
        <w:rPr>
          <w:sz w:val="2"/>
          <w:szCs w:val="2"/>
        </w:rPr>
      </w:pP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Вместе с тем, Комиссия, изучив проект контракта, не установила в данном проекте контракта информации об идентификационном коде закупки.</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Бездействие Заказчика, не установившего в проекте контракта обязательной информации об идентификационном коде закупки, нарушает требования части 1 статьи 23, пункта 3 статьи 42, части 1 статьи 34, части 5 статьи 63, части 4 статьи 64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5"/>
        </w:numPr>
        <w:tabs>
          <w:tab w:leader="none" w:pos="1372" w:val="left"/>
        </w:tabs>
        <w:widowControl w:val="0"/>
        <w:keepNext w:val="0"/>
        <w:keepLines w:val="0"/>
        <w:shd w:val="clear" w:color="auto" w:fill="auto"/>
        <w:bidi w:val="0"/>
        <w:jc w:val="both"/>
        <w:spacing w:before="0" w:after="109" w:line="322" w:lineRule="exact"/>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17"/>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17"/>
        </w:numPr>
        <w:widowControl w:val="0"/>
        <w:keepNext w:val="0"/>
        <w:keepLines w:val="0"/>
        <w:shd w:val="clear" w:color="auto" w:fill="auto"/>
        <w:bidi w:val="0"/>
        <w:jc w:val="both"/>
        <w:spacing w:before="0" w:after="56" w:line="322" w:lineRule="exact"/>
        <w:ind w:left="20" w:right="20" w:firstLine="860"/>
      </w:pPr>
      <w:r>
        <w:rPr>
          <w:lang w:val="ru-RU" w:eastAsia="ru-RU" w:bidi="ru-RU"/>
          <w:w w:val="100"/>
          <w:spacing w:val="0"/>
          <w:color w:val="000000"/>
          <w:position w:val="0"/>
        </w:rPr>
        <w:t xml:space="preserve"> Признать Заказчика нарушившим требования части 1 статьи 23, части 1 статьи 34, пункта 3 статьи 42, части 5 статьи 63, пункта 2 части 1 статьи 64, части 4 статьи 64, части 6 статьи 66 Закона о контрактной системе.</w:t>
      </w:r>
    </w:p>
    <w:p>
      <w:pPr>
        <w:pStyle w:val="Style7"/>
        <w:numPr>
          <w:ilvl w:val="0"/>
          <w:numId w:val="17"/>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№06/4272-17 для рассмотрения вопроса о возбуждении дела об административном правонарушении.</w:t>
      </w:r>
    </w:p>
    <w:p>
      <w:pPr>
        <w:pStyle w:val="Style7"/>
        <w:numPr>
          <w:ilvl w:val="0"/>
          <w:numId w:val="17"/>
        </w:numPr>
        <w:tabs>
          <w:tab w:leader="none" w:pos="1402" w:val="left"/>
        </w:tabs>
        <w:widowControl w:val="0"/>
        <w:keepNext w:val="0"/>
        <w:keepLines w:val="0"/>
        <w:shd w:val="clear" w:color="auto" w:fill="auto"/>
        <w:bidi w:val="0"/>
        <w:jc w:val="left"/>
        <w:spacing w:before="0" w:after="68" w:line="326" w:lineRule="exact"/>
        <w:ind w:left="0" w:right="300" w:firstLine="860"/>
      </w:pPr>
      <w:r>
        <w:rPr>
          <w:lang w:val="ru-RU" w:eastAsia="ru-RU" w:bidi="ru-RU"/>
          <w:w w:val="100"/>
          <w:spacing w:val="0"/>
          <w:color w:val="000000"/>
          <w:position w:val="0"/>
        </w:rPr>
        <w:t>Прекратить действие уведомления о поступлении жалобы и приостановлении торгов от 09.11.2017 №06/12755.</w:t>
      </w:r>
    </w:p>
    <w:p>
      <w:pPr>
        <w:pStyle w:val="Style7"/>
        <w:widowControl w:val="0"/>
        <w:keepNext w:val="0"/>
        <w:keepLines w:val="0"/>
        <w:shd w:val="clear" w:color="auto" w:fill="auto"/>
        <w:bidi w:val="0"/>
        <w:jc w:val="left"/>
        <w:spacing w:before="0" w:after="339" w:line="317" w:lineRule="exact"/>
        <w:ind w:left="0" w:right="30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8" w:val="right"/>
          <w:tab w:leader="none" w:pos="8394" w:val="right"/>
          <w:tab w:leader="none" w:pos="9651"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51"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9651" w:val="right"/>
          <w:tab w:leader="none" w:pos="8381" w:val="right"/>
          <w:tab w:leader="none" w:pos="9749" w:val="right"/>
        </w:tabs>
        <w:widowControl w:val="0"/>
        <w:keepNext w:val="0"/>
        <w:keepLines w:val="0"/>
        <w:shd w:val="clear" w:color="auto" w:fill="auto"/>
        <w:bidi w:val="0"/>
        <w:jc w:val="both"/>
        <w:spacing w:before="0" w:after="0" w:line="643" w:lineRule="exact"/>
        <w:ind w:left="0" w:right="0" w:firstLine="0"/>
        <w:sectPr>
          <w:footnotePr>
            <w:pos w:val="pageBottom"/>
            <w:numFmt w:val="decimal"/>
            <w:numRestart w:val="continuous"/>
          </w:footnotePr>
          <w:type w:val="continuous"/>
          <w:pgSz w:w="11906" w:h="16838"/>
          <w:pgMar w:top="1549" w:left="783" w:right="625" w:bottom="997" w:header="0" w:footer="3" w:gutter="0"/>
          <w:rtlGutter w:val="0"/>
          <w:cols w:space="720"/>
          <w:noEndnote/>
          <w:docGrid w:linePitch="360"/>
        </w:sectPr>
      </w:pPr>
      <w:r>
        <w:rPr>
          <w:lang w:val="ru-RU" w:eastAsia="ru-RU" w:bidi="ru-RU"/>
          <w:w w:val="100"/>
          <w:spacing w:val="0"/>
          <w:color w:val="000000"/>
          <w:position w:val="0"/>
        </w:rPr>
        <w:t>Член Комиссии:</w:t>
        <w:tab/>
        <w:t>О.</w:t>
        <w:tab/>
        <w:t>А.</w:t>
        <w:tab/>
        <w:t>Шалимова</w:t>
      </w:r>
    </w:p>
    <w:p>
      <w:pPr>
        <w:sectPr>
          <w:type w:val="continuous"/>
          <w:pgSz w:w="11906" w:h="16838"/>
          <w:pgMar w:top="1577" w:left="2677" w:right="8125" w:bottom="742" w:header="0" w:footer="3" w:gutter="0"/>
          <w:rtlGutter w:val="0"/>
          <w:cols w:space="720"/>
          <w:noEndnote/>
          <w:docGrid w:linePitch="360"/>
        </w:sectPr>
      </w:pPr>
    </w:p>
    <w:p>
      <w:pPr>
        <w:pStyle w:val="Style3"/>
        <w:widowControl w:val="0"/>
        <w:keepNext w:val="0"/>
        <w:keepLines w:val="0"/>
        <w:shd w:val="clear" w:color="auto" w:fill="auto"/>
        <w:bidi w:val="0"/>
        <w:spacing w:before="0" w:after="176"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9"/>
        </w:numPr>
        <w:tabs>
          <w:tab w:leader="none" w:pos="1418" w:val="left"/>
        </w:tabs>
        <w:widowControl w:val="0"/>
        <w:keepNext w:val="0"/>
        <w:keepLines w:val="0"/>
        <w:shd w:val="clear" w:color="auto" w:fill="auto"/>
        <w:bidi w:val="0"/>
        <w:jc w:val="left"/>
        <w:spacing w:before="0" w:after="0" w:line="562" w:lineRule="exact"/>
        <w:ind w:left="40" w:right="2060" w:firstLine="0"/>
      </w:pPr>
      <w:r>
        <w:rPr>
          <w:lang w:val="ru-RU" w:eastAsia="ru-RU" w:bidi="ru-RU"/>
          <w:w w:val="100"/>
          <w:spacing w:val="0"/>
          <w:color w:val="000000"/>
          <w:position w:val="0"/>
        </w:rPr>
        <w:t>№06/13162 На № б/н от 07.11.2017</w:t>
      </w:r>
    </w:p>
    <w:p>
      <w:pPr>
        <w:pStyle w:val="Style7"/>
        <w:numPr>
          <w:ilvl w:val="0"/>
          <w:numId w:val="21"/>
        </w:numPr>
        <w:widowControl w:val="0"/>
        <w:keepNext w:val="0"/>
        <w:keepLines w:val="0"/>
        <w:shd w:val="clear" w:color="auto" w:fill="auto"/>
        <w:bidi w:val="0"/>
        <w:jc w:val="both"/>
        <w:spacing w:before="0" w:after="0" w:line="264"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264" w:lineRule="exact"/>
        <w:ind w:left="20" w:right="0" w:firstLine="0"/>
      </w:pPr>
      <w:r>
        <w:rPr>
          <w:lang w:val="ru-RU" w:eastAsia="ru-RU" w:bidi="ru-RU"/>
          <w:w w:val="100"/>
          <w:spacing w:val="0"/>
          <w:color w:val="000000"/>
          <w:position w:val="0"/>
        </w:rPr>
        <w:t>Государственное унитарное предприятие Республики Крым «Вода Крыма»</w:t>
      </w:r>
    </w:p>
    <w:p>
      <w:pPr>
        <w:pStyle w:val="Style7"/>
        <w:widowControl w:val="0"/>
        <w:keepNext w:val="0"/>
        <w:keepLines w:val="0"/>
        <w:shd w:val="clear" w:color="auto" w:fill="auto"/>
        <w:bidi w:val="0"/>
        <w:jc w:val="left"/>
        <w:spacing w:before="0" w:after="244" w:line="326" w:lineRule="exact"/>
        <w:ind w:left="20" w:right="0" w:firstLine="0"/>
      </w:pPr>
      <w:r>
        <w:rPr>
          <w:lang w:val="ru-RU" w:eastAsia="ru-RU" w:bidi="ru-RU"/>
          <w:w w:val="100"/>
          <w:spacing w:val="0"/>
          <w:color w:val="000000"/>
          <w:position w:val="0"/>
        </w:rPr>
        <w:t>253053, Республика Крым, г. Симферополь, ул. Киевская, д. 1 А</w:t>
      </w:r>
    </w:p>
    <w:p>
      <w:pPr>
        <w:pStyle w:val="Style7"/>
        <w:numPr>
          <w:ilvl w:val="0"/>
          <w:numId w:val="21"/>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Уполномоченный орган:</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Комитет конкурентной политики Республики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295022, Республика Крым, г. Симферополь,</w:t>
      </w:r>
    </w:p>
    <w:p>
      <w:pPr>
        <w:pStyle w:val="Style7"/>
        <w:widowControl w:val="0"/>
        <w:keepNext w:val="0"/>
        <w:keepLines w:val="0"/>
        <w:shd w:val="clear" w:color="auto" w:fill="auto"/>
        <w:bidi w:val="0"/>
        <w:jc w:val="both"/>
        <w:spacing w:before="0" w:after="240" w:line="322" w:lineRule="exact"/>
        <w:ind w:left="20" w:right="0" w:firstLine="0"/>
      </w:pPr>
      <w:r>
        <w:rPr>
          <w:lang w:val="ru-RU" w:eastAsia="ru-RU" w:bidi="ru-RU"/>
          <w:w w:val="100"/>
          <w:spacing w:val="0"/>
          <w:color w:val="000000"/>
          <w:position w:val="0"/>
        </w:rPr>
        <w:t>ул. Кечкеметская, д. 198 (1 этаж)</w:t>
      </w:r>
    </w:p>
    <w:p>
      <w:pPr>
        <w:pStyle w:val="Style7"/>
        <w:numPr>
          <w:ilvl w:val="0"/>
          <w:numId w:val="21"/>
        </w:numPr>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ООО «ОВК ЮГ»</w:t>
      </w:r>
    </w:p>
    <w:p>
      <w:pPr>
        <w:pStyle w:val="Style7"/>
        <w:tabs>
          <w:tab w:leader="none" w:pos="345" w:val="left"/>
        </w:tabs>
        <w:widowControl w:val="0"/>
        <w:keepNext w:val="0"/>
        <w:keepLines w:val="0"/>
        <w:shd w:val="clear" w:color="auto" w:fill="auto"/>
        <w:bidi w:val="0"/>
        <w:jc w:val="both"/>
        <w:spacing w:before="0" w:after="0" w:line="322" w:lineRule="exact"/>
        <w:ind w:left="20" w:right="0" w:firstLine="0"/>
        <w:sectPr>
          <w:type w:val="continuous"/>
          <w:pgSz w:w="11906" w:h="16838"/>
          <w:pgMar w:top="1577" w:left="795" w:right="1136" w:bottom="742" w:header="0" w:footer="3" w:gutter="0"/>
          <w:rtlGutter w:val="0"/>
          <w:cols w:num="2" w:space="163"/>
          <w:noEndnote/>
          <w:docGrid w:linePitch="360"/>
        </w:sectPr>
      </w:pPr>
      <w:r>
        <w:rPr>
          <w:lang w:val="ru-RU" w:eastAsia="ru-RU" w:bidi="ru-RU"/>
          <w:w w:val="100"/>
          <w:spacing w:val="0"/>
          <w:color w:val="000000"/>
          <w:position w:val="0"/>
        </w:rPr>
        <w:t>г.</w:t>
        <w:tab/>
        <w:t>Краснодар, проезд Брюсова, д. 22/3,</w:t>
      </w:r>
    </w:p>
    <w:p>
      <w:pPr>
        <w:widowControl w:val="0"/>
        <w:spacing w:before="64" w:after="6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21"/>
        </w:numPr>
        <w:tabs>
          <w:tab w:leader="none" w:pos="5362" w:val="left"/>
        </w:tabs>
        <w:widowControl w:val="0"/>
        <w:keepNext w:val="0"/>
        <w:keepLines w:val="0"/>
        <w:shd w:val="clear" w:color="auto" w:fill="auto"/>
        <w:bidi w:val="0"/>
        <w:jc w:val="both"/>
        <w:spacing w:before="0" w:after="0" w:line="260" w:lineRule="exact"/>
        <w:ind w:left="4980" w:right="0" w:firstLine="0"/>
      </w:pPr>
      <w:r>
        <w:rPr>
          <w:lang w:val="ru-RU" w:eastAsia="ru-RU" w:bidi="ru-RU"/>
          <w:w w:val="100"/>
          <w:spacing w:val="0"/>
          <w:color w:val="000000"/>
          <w:position w:val="0"/>
        </w:rPr>
        <w:t>Электронная площадка:</w:t>
      </w:r>
    </w:p>
    <w:p>
      <w:pPr>
        <w:pStyle w:val="Style7"/>
        <w:widowControl w:val="0"/>
        <w:keepNext w:val="0"/>
        <w:keepLines w:val="0"/>
        <w:shd w:val="clear" w:color="auto" w:fill="auto"/>
        <w:bidi w:val="0"/>
        <w:jc w:val="both"/>
        <w:spacing w:before="0" w:after="0" w:line="260"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121151, г. Москва, наб. Тараса Шевченко,</w:t>
      </w:r>
    </w:p>
    <w:p>
      <w:pPr>
        <w:pStyle w:val="Style7"/>
        <w:tabs>
          <w:tab w:leader="none" w:pos="5362" w:val="left"/>
        </w:tabs>
        <w:widowControl w:val="0"/>
        <w:keepNext w:val="0"/>
        <w:keepLines w:val="0"/>
        <w:shd w:val="clear" w:color="auto" w:fill="auto"/>
        <w:bidi w:val="0"/>
        <w:jc w:val="both"/>
        <w:spacing w:before="0" w:after="60" w:line="322" w:lineRule="exact"/>
        <w:ind w:left="4980" w:right="0" w:firstLine="0"/>
      </w:pPr>
      <w:r>
        <w:rPr>
          <w:lang w:val="ru-RU" w:eastAsia="ru-RU" w:bidi="ru-RU"/>
          <w:w w:val="100"/>
          <w:spacing w:val="0"/>
          <w:color w:val="000000"/>
          <w:position w:val="0"/>
        </w:rPr>
        <w:t>д.</w:t>
        <w:tab/>
        <w:t>23А, сектор В, 25 этаж</w:t>
      </w:r>
    </w:p>
    <w:p>
      <w:pPr>
        <w:pStyle w:val="Style10"/>
        <w:widowControl w:val="0"/>
        <w:keepNext w:val="0"/>
        <w:keepLines w:val="0"/>
        <w:shd w:val="clear" w:color="auto" w:fill="auto"/>
        <w:bidi w:val="0"/>
        <w:spacing w:before="0" w:after="109"/>
        <w:ind w:left="0" w:right="20" w:firstLine="0"/>
      </w:pPr>
      <w:r>
        <w:rPr>
          <w:lang w:val="ru-RU" w:eastAsia="ru-RU" w:bidi="ru-RU"/>
          <w:w w:val="100"/>
          <w:spacing w:val="0"/>
          <w:color w:val="000000"/>
          <w:position w:val="0"/>
        </w:rPr>
        <w:t>Предписание по делу №06/4272-17 об устранении нарушений законодательства Российской Федерации о контрактной системе в сфере закупок</w:t>
      </w:r>
    </w:p>
    <w:p>
      <w:pPr>
        <w:pStyle w:val="Style7"/>
        <w:numPr>
          <w:ilvl w:val="0"/>
          <w:numId w:val="23"/>
        </w:numPr>
        <w:tabs>
          <w:tab w:leader="none" w:pos="8052" w:val="left"/>
          <w:tab w:leader="none" w:pos="8071" w:val="left"/>
        </w:tabs>
        <w:widowControl w:val="0"/>
        <w:keepNext w:val="0"/>
        <w:keepLines w:val="0"/>
        <w:shd w:val="clear" w:color="auto" w:fill="auto"/>
        <w:bidi w:val="0"/>
        <w:jc w:val="both"/>
        <w:spacing w:before="0" w:after="137"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17" w:lineRule="exact"/>
        <w:ind w:left="0" w:right="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286" w:line="317" w:lineRule="exact"/>
        <w:ind w:left="0" w:right="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260" w:lineRule="exact"/>
        <w:ind w:left="0" w:right="0" w:firstLine="840"/>
      </w:pPr>
      <w:r>
        <w:rPr>
          <w:lang w:val="ru-RU" w:eastAsia="ru-RU" w:bidi="ru-RU"/>
          <w:w w:val="100"/>
          <w:spacing w:val="0"/>
          <w:color w:val="000000"/>
          <w:position w:val="0"/>
        </w:rPr>
        <w:t>члена Комиссии:</w:t>
      </w:r>
    </w:p>
    <w:p>
      <w:pPr>
        <w:pStyle w:val="Style7"/>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главного специалиста-эксперта отдела контроля закупок Крымского УФАС России О. А. Шалимовой, —</w:t>
      </w:r>
    </w:p>
    <w:p>
      <w:pPr>
        <w:pStyle w:val="Style7"/>
        <w:tabs>
          <w:tab w:leader="none" w:pos="5871" w:val="right"/>
          <w:tab w:leader="none" w:pos="10215"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основании решения Комиссии от 14.11.2017 по делу №06/4272-17 по итогам рассмотрения жалобы Заявителя от 07.11.2017 (вх. №1498/10 от 08.11.2017) на действия Заказчика при проведении аукциона в электронной форме «Выполнение строительно-монтажных работ по объекту «Капитальный ремонт сетей водоснабжения по ул.</w:t>
        <w:tab/>
        <w:t>Таврическая, г.</w:t>
        <w:tab/>
        <w:t>Красноперекопск»» (извещение</w:t>
      </w:r>
    </w:p>
    <w:p>
      <w:pPr>
        <w:pStyle w:val="Style7"/>
        <w:widowControl w:val="0"/>
        <w:keepNext w:val="0"/>
        <w:keepLines w:val="0"/>
        <w:shd w:val="clear" w:color="auto" w:fill="auto"/>
        <w:bidi w:val="0"/>
        <w:jc w:val="both"/>
        <w:spacing w:before="0" w:after="109" w:line="322" w:lineRule="exact"/>
        <w:ind w:left="20" w:right="20" w:firstLine="0"/>
      </w:pPr>
      <w:r>
        <w:rPr>
          <w:lang w:val="ru-RU" w:eastAsia="ru-RU" w:bidi="ru-RU"/>
          <w:w w:val="100"/>
          <w:spacing w:val="0"/>
          <w:color w:val="000000"/>
          <w:position w:val="0"/>
        </w:rPr>
        <w:t>№0175200000417000499)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2"/>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left"/>
        <w:spacing w:before="0" w:after="243" w:line="260" w:lineRule="exact"/>
        <w:ind w:left="436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при рассмотрении заявок участников на участие в Аукционе не учитывать требований к товарам, используемых при выполнении работ с учетом решения от</w:t>
      </w:r>
    </w:p>
    <w:p>
      <w:pPr>
        <w:pStyle w:val="Style7"/>
        <w:numPr>
          <w:ilvl w:val="0"/>
          <w:numId w:val="27"/>
        </w:numPr>
        <w:tabs>
          <w:tab w:leader="none" w:pos="1374" w:val="left"/>
        </w:tabs>
        <w:widowControl w:val="0"/>
        <w:keepNext w:val="0"/>
        <w:keepLines w:val="0"/>
        <w:shd w:val="clear" w:color="auto" w:fill="auto"/>
        <w:bidi w:val="0"/>
        <w:jc w:val="both"/>
        <w:spacing w:before="0" w:after="240" w:line="322" w:lineRule="exact"/>
        <w:ind w:left="20" w:right="0" w:firstLine="0"/>
      </w:pPr>
      <w:r>
        <w:rPr>
          <w:lang w:val="ru-RU" w:eastAsia="ru-RU" w:bidi="ru-RU"/>
          <w:w w:val="100"/>
          <w:spacing w:val="0"/>
          <w:color w:val="000000"/>
          <w:position w:val="0"/>
        </w:rPr>
        <w:t>по делу №06/4272-17.</w:t>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14.11.2017 по делу №06/4272-17.</w:t>
      </w:r>
    </w:p>
    <w:p>
      <w:pPr>
        <w:pStyle w:val="Style7"/>
        <w:numPr>
          <w:ilvl w:val="0"/>
          <w:numId w:val="25"/>
        </w:numPr>
        <w:widowControl w:val="0"/>
        <w:keepNext w:val="0"/>
        <w:keepLines w:val="0"/>
        <w:shd w:val="clear" w:color="auto" w:fill="auto"/>
        <w:bidi w:val="0"/>
        <w:jc w:val="both"/>
        <w:spacing w:before="0" w:after="60" w:line="322" w:lineRule="exact"/>
        <w:ind w:left="20" w:right="20" w:firstLine="860"/>
      </w:pPr>
      <w:r>
        <w:rPr>
          <w:lang w:val="ru-RU" w:eastAsia="ru-RU" w:bidi="ru-RU"/>
          <w:w w:val="100"/>
          <w:spacing w:val="0"/>
          <w:color w:val="000000"/>
          <w:position w:val="0"/>
        </w:rPr>
        <w:t xml:space="preserve"> Заказчику при заключении государственного контракта по результатам проведения Аукциона привести положения государственного контракта в соответствие с положениями законодательства Российской Федерации о контрактной системе в сфере закупок и с учетом решения от 14.11.2017 по делу №06/4272-17.</w:t>
      </w:r>
    </w:p>
    <w:p>
      <w:pPr>
        <w:pStyle w:val="Style7"/>
        <w:numPr>
          <w:ilvl w:val="0"/>
          <w:numId w:val="25"/>
        </w:numPr>
        <w:widowControl w:val="0"/>
        <w:keepNext w:val="0"/>
        <w:keepLines w:val="0"/>
        <w:shd w:val="clear" w:color="auto" w:fill="auto"/>
        <w:bidi w:val="0"/>
        <w:jc w:val="both"/>
        <w:spacing w:before="0" w:after="240" w:line="322" w:lineRule="exact"/>
        <w:ind w:left="20" w:right="20" w:firstLine="860"/>
      </w:pPr>
      <w:r>
        <w:rPr>
          <w:lang w:val="ru-RU" w:eastAsia="ru-RU" w:bidi="ru-RU"/>
          <w:w w:val="100"/>
          <w:spacing w:val="0"/>
          <w:color w:val="000000"/>
          <w:position w:val="0"/>
        </w:rPr>
        <w:t xml:space="preserve"> Заказчику, Уполномоченному органу, Единой комиссии Уполномоченного органа в срок до 30.11.2017 исполнить настоящее предписание и предоставить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09.11.2017 №06/12755.</w:t>
      </w:r>
      <w:r>
        <w:br w:type="page"/>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0" w:right="20" w:firstLine="84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629" w:left="911" w:right="781" w:bottom="105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2"/>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017"/>
      <w:numFmt w:val="decimal"/>
      <w:lvlText w:val="16.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2017"/>
      <w:numFmt w:val="decimal"/>
      <w:lvlText w:val="14.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u w:val="single"/>
      <w:w w:val="100"/>
      <w:spacing w:val="0"/>
      <w:color w:val="000000"/>
      <w:position w:val="0"/>
    </w:rPr>
  </w:style>
  <w:style w:type="character" w:customStyle="1" w:styleId="CharStyle13">
    <w:name w:val="Основной текст"/>
    <w:basedOn w:val="CharStyle9"/>
    <w:rPr>
      <w:lang w:val="ru-RU" w:eastAsia="ru-RU" w:bidi="ru-RU"/>
      <w:w w:val="100"/>
      <w:spacing w:val="0"/>
      <w:color w:val="000000"/>
      <w:position w:val="0"/>
    </w:rPr>
  </w:style>
  <w:style w:type="character" w:customStyle="1" w:styleId="CharStyle15">
    <w:name w:val="Основной текст (5)_"/>
    <w:basedOn w:val="DefaultParagraphFont"/>
    <w:link w:val="Style14"/>
    <w:rPr>
      <w:b/>
      <w:bCs/>
      <w:i w:val="0"/>
      <w:iCs w:val="0"/>
      <w:u w:val="none"/>
      <w:strike w:val="0"/>
      <w:smallCaps w:val="0"/>
      <w:sz w:val="18"/>
      <w:szCs w:val="18"/>
      <w:rFonts w:ascii="Times New Roman" w:eastAsia="Times New Roman" w:hAnsi="Times New Roman" w:cs="Times New Roman"/>
    </w:rPr>
  </w:style>
  <w:style w:type="character" w:customStyle="1" w:styleId="CharStyle16">
    <w:name w:val="Основной текст + Курсив"/>
    <w:basedOn w:val="CharStyle9"/>
    <w:rPr>
      <w:lang w:val="en-US" w:eastAsia="en-US" w:bidi="en-US"/>
      <w:i/>
      <w:iCs/>
      <w:w w:val="100"/>
      <w:spacing w:val="0"/>
      <w:color w:val="000000"/>
      <w:position w:val="0"/>
    </w:rPr>
  </w:style>
  <w:style w:type="character" w:customStyle="1" w:styleId="CharStyle17">
    <w:name w:val="Основной текст"/>
    <w:basedOn w:val="CharStyle9"/>
    <w:rPr>
      <w:lang w:val="ru-RU" w:eastAsia="ru-RU" w:bidi="ru-RU"/>
      <w:w w:val="100"/>
      <w:spacing w:val="0"/>
      <w:color w:val="000000"/>
      <w:position w:val="0"/>
    </w:rPr>
  </w:style>
  <w:style w:type="character" w:customStyle="1" w:styleId="CharStyle19">
    <w:name w:val="Подпись к таблице_"/>
    <w:basedOn w:val="DefaultParagraphFont"/>
    <w:link w:val="Style18"/>
    <w:rPr>
      <w:b w:val="0"/>
      <w:bCs w:val="0"/>
      <w:i w:val="0"/>
      <w:iCs w:val="0"/>
      <w:u w:val="none"/>
      <w:strike w:val="0"/>
      <w:smallCaps w:val="0"/>
      <w:sz w:val="26"/>
      <w:szCs w:val="26"/>
      <w:rFonts w:ascii="Times New Roman" w:eastAsia="Times New Roman" w:hAnsi="Times New Roman" w:cs="Times New Roman"/>
    </w:rPr>
  </w:style>
  <w:style w:type="character" w:customStyle="1" w:styleId="CharStyle20">
    <w:name w:val="Подпись к таблице"/>
    <w:basedOn w:val="CharStyle19"/>
    <w:rPr>
      <w:lang w:val="ru-RU" w:eastAsia="ru-RU" w:bidi="ru-RU"/>
      <w:u w:val="single"/>
      <w:w w:val="100"/>
      <w:spacing w:val="0"/>
      <w:color w:val="000000"/>
      <w:position w:val="0"/>
    </w:rPr>
  </w:style>
  <w:style w:type="character" w:customStyle="1" w:styleId="CharStyle21">
    <w:name w:val="Основной текст + 10,5 pt,Полужирный"/>
    <w:basedOn w:val="CharStyle9"/>
    <w:rPr>
      <w:lang w:val="ru-RU" w:eastAsia="ru-RU" w:bidi="ru-RU"/>
      <w:b/>
      <w:bCs/>
      <w:sz w:val="21"/>
      <w:szCs w:val="21"/>
      <w:w w:val="100"/>
      <w:spacing w:val="0"/>
      <w:color w:val="000000"/>
      <w:position w:val="0"/>
    </w:rPr>
  </w:style>
  <w:style w:type="character" w:customStyle="1" w:styleId="CharStyle22">
    <w:name w:val="Основной текст + 10,5 pt"/>
    <w:basedOn w:val="CharStyle9"/>
    <w:rPr>
      <w:lang w:val="ru-RU" w:eastAsia="ru-RU" w:bidi="ru-RU"/>
      <w:sz w:val="21"/>
      <w:szCs w:val="21"/>
      <w:w w:val="100"/>
      <w:spacing w:val="0"/>
      <w:color w:val="000000"/>
      <w:position w:val="0"/>
    </w:rPr>
  </w:style>
  <w:style w:type="character" w:customStyle="1" w:styleId="CharStyle23">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4">
    <w:name w:val="Основной текст (4)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25">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23"/>
    <w:pPr>
      <w:widowControl w:val="0"/>
      <w:shd w:val="clear" w:color="auto" w:fill="FFFFFF"/>
      <w:jc w:val="center"/>
      <w:spacing w:after="180" w:line="278" w:lineRule="exact"/>
    </w:pPr>
    <w:rPr>
      <w:b/>
      <w:bCs/>
      <w:i w:val="0"/>
      <w:iCs w:val="0"/>
      <w:u w:val="none"/>
      <w:strike w:val="0"/>
      <w:smallCaps w:val="0"/>
      <w:sz w:val="23"/>
      <w:szCs w:val="23"/>
      <w:rFonts w:ascii="Times New Roman" w:eastAsia="Times New Roman" w:hAnsi="Times New Roman" w:cs="Times New Roman"/>
    </w:rPr>
  </w:style>
  <w:style w:type="paragraph" w:customStyle="1" w:styleId="Style5">
    <w:name w:val="Основной текст (4)"/>
    <w:basedOn w:val="Normal"/>
    <w:link w:val="CharStyle24"/>
    <w:pPr>
      <w:widowControl w:val="0"/>
      <w:shd w:val="clear" w:color="auto" w:fill="FFFFFF"/>
      <w:jc w:val="center"/>
      <w:spacing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140" w:line="0" w:lineRule="exact"/>
      <w:ind w:hanging="4960"/>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line="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8">
    <w:name w:val="Подпись к таблице"/>
    <w:basedOn w:val="Normal"/>
    <w:link w:val="CharStyle19"/>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