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28" w:y="122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28" w:y="122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28" w:y="122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1124" w:after="0" w:line="260" w:lineRule="exact"/>
        <w:ind w:left="4980" w:right="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254" w:lineRule="exact"/>
        <w:ind w:left="0" w:right="32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framePr w:w="3741" w:h="806" w:wrap="around" w:vAnchor="text" w:hAnchor="margin" w:x="-76" w:y="596"/>
        <w:widowControl w:val="0"/>
        <w:keepNext w:val="0"/>
        <w:keepLines w:val="0"/>
        <w:shd w:val="clear" w:color="auto" w:fill="auto"/>
        <w:bidi w:val="0"/>
        <w:jc w:val="left"/>
        <w:spacing w:before="0" w:after="257" w:line="240" w:lineRule="exact"/>
        <w:ind w:left="20" w:right="0" w:firstLine="0"/>
      </w:pPr>
      <w:r>
        <w:rPr>
          <w:rStyle w:val="CharStyle8"/>
          <w:spacing w:val="0"/>
        </w:rPr>
        <w:t>16.11.2017 №06/13166</w:t>
      </w:r>
    </w:p>
    <w:p>
      <w:pPr>
        <w:pStyle w:val="Style7"/>
        <w:framePr w:w="3741" w:h="806" w:wrap="around" w:vAnchor="text" w:hAnchor="margin" w:x="-76" w:y="596"/>
        <w:widowControl w:val="0"/>
        <w:keepNext w:val="0"/>
        <w:keepLines w:val="0"/>
        <w:shd w:val="clear" w:color="auto" w:fill="auto"/>
        <w:bidi w:val="0"/>
        <w:jc w:val="left"/>
        <w:spacing w:before="0" w:after="0" w:line="240" w:lineRule="exact"/>
        <w:ind w:left="20" w:right="0" w:firstLine="0"/>
      </w:pPr>
      <w:r>
        <w:rPr>
          <w:rStyle w:val="CharStyle8"/>
          <w:spacing w:val="0"/>
        </w:rPr>
        <w:t>На № 2017/Ж-51 от 07.11.2017</w:t>
      </w:r>
    </w:p>
    <w:p>
      <w:pPr>
        <w:pStyle w:val="Style7"/>
        <w:widowControl w:val="0"/>
        <w:keepNext w:val="0"/>
        <w:keepLines w:val="0"/>
        <w:shd w:val="clear" w:color="auto" w:fill="auto"/>
        <w:bidi w:val="0"/>
        <w:jc w:val="left"/>
        <w:spacing w:before="0" w:after="244" w:line="326" w:lineRule="exact"/>
        <w:ind w:left="4980" w:right="320"/>
      </w:pPr>
      <w:r>
        <w:rPr>
          <w:lang w:val="ru-RU" w:eastAsia="ru-RU" w:bidi="ru-RU"/>
          <w:w w:val="100"/>
          <w:spacing w:val="0"/>
          <w:color w:val="000000"/>
          <w:position w:val="0"/>
        </w:rPr>
        <w:t>253053, Республика Крым, г. Симферополь, ул. Киевская, д. 1 А</w:t>
      </w:r>
    </w:p>
    <w:p>
      <w:pPr>
        <w:pStyle w:val="Style7"/>
        <w:numPr>
          <w:ilvl w:val="0"/>
          <w:numId w:val="1"/>
        </w:numPr>
        <w:widowControl w:val="0"/>
        <w:keepNext w:val="0"/>
        <w:keepLines w:val="0"/>
        <w:shd w:val="clear" w:color="auto" w:fill="auto"/>
        <w:bidi w:val="0"/>
        <w:jc w:val="left"/>
        <w:spacing w:before="0" w:after="0" w:line="322" w:lineRule="exact"/>
        <w:ind w:left="4980" w:right="0" w:hanging="366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4980" w:right="1320" w:hanging="366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295022, Республика Крым,</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240" w:line="322" w:lineRule="exact"/>
        <w:ind w:left="4980" w:right="0" w:firstLine="0"/>
      </w:pPr>
      <w:r>
        <w:rPr>
          <w:lang w:val="ru-RU" w:eastAsia="ru-RU" w:bidi="ru-RU"/>
          <w:w w:val="100"/>
          <w:spacing w:val="0"/>
          <w:color w:val="000000"/>
          <w:position w:val="0"/>
        </w:rPr>
        <w:t>ул. Кечкеметская, д. 198 (1 этаж)</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ИП Желанкин А. В.</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109129, г. Москва,</w:t>
      </w:r>
    </w:p>
    <w:p>
      <w:pPr>
        <w:pStyle w:val="Style7"/>
        <w:widowControl w:val="0"/>
        <w:keepNext w:val="0"/>
        <w:keepLines w:val="0"/>
        <w:shd w:val="clear" w:color="auto" w:fill="auto"/>
        <w:bidi w:val="0"/>
        <w:jc w:val="left"/>
        <w:spacing w:before="0" w:after="244" w:line="322" w:lineRule="exact"/>
        <w:ind w:left="4980" w:right="0" w:firstLine="0"/>
      </w:pPr>
      <w:r>
        <w:rPr>
          <w:lang w:val="ru-RU" w:eastAsia="ru-RU" w:bidi="ru-RU"/>
          <w:w w:val="100"/>
          <w:spacing w:val="0"/>
          <w:color w:val="000000"/>
          <w:position w:val="0"/>
        </w:rPr>
        <w:t>ул. Б. Черемушкинская, д. 15, корп. 3, кв.7</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№06/4267-17 о нарушении законодательства Российской Федерации о контрактной системе в сфере закупок</w:t>
      </w:r>
    </w:p>
    <w:p>
      <w:pPr>
        <w:pStyle w:val="Style7"/>
        <w:tabs>
          <w:tab w:leader="none" w:pos="8124" w:val="center"/>
          <w:tab w:leader="none" w:pos="9938" w:val="right"/>
        </w:tabs>
        <w:widowControl w:val="0"/>
        <w:keepNext w:val="0"/>
        <w:keepLines w:val="0"/>
        <w:shd w:val="clear" w:color="auto" w:fill="auto"/>
        <w:bidi w:val="0"/>
        <w:jc w:val="both"/>
        <w:spacing w:before="0" w:after="132" w:line="260" w:lineRule="exact"/>
        <w:ind w:left="300" w:right="0" w:firstLine="0"/>
      </w:pPr>
      <w:r>
        <w:rPr>
          <w:lang w:val="ru-RU" w:eastAsia="ru-RU" w:bidi="ru-RU"/>
          <w:w w:val="100"/>
          <w:spacing w:val="0"/>
          <w:color w:val="000000"/>
          <w:position w:val="0"/>
        </w:rPr>
        <w:t>14.11.2017</w:t>
        <w:tab/>
        <w:t>г.</w:t>
        <w:tab/>
        <w:t>Симферополь</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17"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r>
        <w:br w:type="page"/>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главного специалиста-эксперта отдела контроля закупок Крымского УФАС России О. А. Шалимовой, —</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Уполномоченного органа Е. В. Купаревой (по доверенности),</w:t>
      </w:r>
    </w:p>
    <w:p>
      <w:pPr>
        <w:pStyle w:val="Style7"/>
        <w:widowControl w:val="0"/>
        <w:keepNext w:val="0"/>
        <w:keepLines w:val="0"/>
        <w:shd w:val="clear" w:color="auto" w:fill="auto"/>
        <w:bidi w:val="0"/>
        <w:jc w:val="both"/>
        <w:spacing w:before="0" w:after="109" w:line="322" w:lineRule="exact"/>
        <w:ind w:left="0" w:right="20" w:firstLine="860"/>
      </w:pPr>
      <w:r>
        <w:rPr>
          <w:lang w:val="ru-RU" w:eastAsia="ru-RU" w:bidi="ru-RU"/>
          <w:w w:val="100"/>
          <w:spacing w:val="0"/>
          <w:color w:val="000000"/>
          <w:position w:val="0"/>
        </w:rPr>
        <w:t>Заказчика З. Ш. Водотыки (по доверенности), представители Заявителя на заседание Комиссии не явились, — рассмотрев жалобу Заявителя от 07.11.2017 № 2017/Ж-51 (вх. №1505/10 от 08.11.2017) на действия Заказчика при проведении электронного аукциона «Выполнение строительно-монтажных работ по объекту «Капитальный ремонт мойнакского самотечного канализационного коллектора от колодца № 36 до Мойнакской КНС в г. Евпатория.»» (номер извещения 0175200000417000498)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№727/14, 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Заказчиком в документации об Аукционе ненадлежащим образом составлена Инструкция по заполнению заявок участников Аукциона.</w:t>
      </w:r>
    </w:p>
    <w:p>
      <w:pPr>
        <w:pStyle w:val="Style7"/>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В техническом задании документации об Аукционе Заказчиком при описании отдельных товаров (материалов), используемых при выполнении работ, установлено требование о их соответствии ГОСТ, при этом показатели характеристик и свойств товаров указаны Заказчиком отличные от показателей ГОСТ.</w:t>
      </w:r>
    </w:p>
    <w:p>
      <w:pPr>
        <w:pStyle w:val="Style7"/>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В составе проектно - сметной документации, опубликованной Заказчиком в на официальном сайте Единой информационной системы, отсутствует раздел «Проект организации строительства» (ПОС), что нарушает требования Закона о контрактной системе.</w:t>
      </w:r>
    </w:p>
    <w:p>
      <w:pPr>
        <w:pStyle w:val="Style7"/>
        <w:numPr>
          <w:ilvl w:val="0"/>
          <w:numId w:val="3"/>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В техническом задании документации об Аукционе Заказчиком указаны товарные знаки товаров, используемых при выполнении работ, без возможности</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использования эквивалентного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№06/12750,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15:20 13.11.2017.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15:20 14.11.2017.</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20.10.2017;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- 68 105 946,72 рублей;</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08.11.2017 08:00, дата окончания срока рассмотрения первых частей заявок участников: 14.11.2017, дата проведения Аукциона: 17.11.2017;</w:t>
      </w:r>
    </w:p>
    <w:p>
      <w:pPr>
        <w:pStyle w:val="Style7"/>
        <w:numPr>
          <w:ilvl w:val="0"/>
          <w:numId w:val="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на участие в Аукционе подано 4 заявки, из них по результатам рассмотрения первых частей заявок участников 3 заявки признаны не соответствующими документации об Аукционе.</w:t>
      </w:r>
    </w:p>
    <w:p>
      <w:pPr>
        <w:pStyle w:val="Style7"/>
        <w:numPr>
          <w:ilvl w:val="0"/>
          <w:numId w:val="7"/>
        </w:numPr>
        <w:tabs>
          <w:tab w:leader="none" w:pos="1197"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документации об Аукционе ненадлежащим образом составлена Инструкция по заполнению заявок участников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Вместе в тем, положения Закона о контрактной системе не предусматривают требований к определению конкретной формы инструкции.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Комиссия, изучив «ИНСТРУКЦИЮ УЧАСТНИКУ ЗАКУПКИ ПО ЗАПОЛНЕНИЮ ЗАЯВКИ НА УЧАСТИЕ В АУКЦИОНЕ В ЭЛЕКТРОННОМ ФОРМЕ», содержащуюся в документации об Аукционе, установила, что инструкция по заполнению первых частей заявок участников не содержит описание действий участника закупки при использовании Заказчиком обозначения (знака) «±», установленного Заказчиком в значении показателя «Толщина </w:t>
      </w:r>
      <w:r>
        <w:rPr>
          <w:rStyle w:val="CharStyle12"/>
        </w:rPr>
        <w:t>h»</w:t>
      </w:r>
      <w:r>
        <w:rPr>
          <w:lang w:val="en-US" w:eastAsia="en-US" w:bidi="en-US"/>
          <w:w w:val="100"/>
          <w:spacing w:val="0"/>
          <w:color w:val="000000"/>
          <w:position w:val="0"/>
        </w:rPr>
        <w:t xml:space="preserve"> </w:t>
      </w:r>
      <w:r>
        <w:rPr>
          <w:lang w:val="ru-RU" w:eastAsia="ru-RU" w:bidi="ru-RU"/>
          <w:w w:val="100"/>
          <w:spacing w:val="0"/>
          <w:color w:val="000000"/>
          <w:position w:val="0"/>
        </w:rPr>
        <w:t>по номенклатурной позиции «Шпала», а также действий участника закупки в данном случае</w:t>
      </w:r>
      <w:r>
        <w:rPr>
          <w:rStyle w:val="CharStyle13"/>
        </w:rPr>
        <w:t>.</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7"/>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0"/>
          <w:numId w:val="7"/>
        </w:numPr>
        <w:tabs>
          <w:tab w:leader="none" w:pos="1258"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доводам жалобы в техническом задании документации об Аукционе Заказчиком при описании отдельных товаров (материалов), используемых при выполнении работ, установлено требование о их соответствии ГОСТ, при этом показатели характеристик и свойств товаров указаны Заказчиком отличные от показателей ГОСТ.</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9"/>
        </w:numPr>
        <w:tabs>
          <w:tab w:leader="none" w:pos="423" w:val="left"/>
        </w:tabs>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9"/>
        </w:numPr>
        <w:tabs>
          <w:tab w:leader="none" w:pos="1254"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следующее требование о соответствии товаров, используемых при выполнении работ, например: </w:t>
      </w:r>
      <w:r>
        <w:rPr>
          <w:rStyle w:val="CharStyle14"/>
        </w:rPr>
        <w:t>«...</w:t>
      </w:r>
    </w:p>
    <w:p>
      <w:pPr>
        <w:pStyle w:val="Style15"/>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Полосовой горячекатаный прокат из углеродистой стали обыкновенного качества Ст6сп5- 1 толщиной 10-75мм, шириной 100-200мм.</w:t>
      </w:r>
    </w:p>
    <w:p>
      <w:pPr>
        <w:pStyle w:val="Style7"/>
        <w:widowControl w:val="0"/>
        <w:keepNext w:val="0"/>
        <w:keepLines w:val="0"/>
        <w:shd w:val="clear" w:color="auto" w:fill="auto"/>
        <w:bidi w:val="0"/>
        <w:jc w:val="both"/>
        <w:spacing w:before="0" w:after="0" w:line="322" w:lineRule="exact"/>
        <w:ind w:left="20" w:right="0" w:firstLine="860"/>
      </w:pPr>
      <w:r>
        <w:rPr>
          <w:rStyle w:val="CharStyle17"/>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положениями межгосударственного стандарта «ГОСТ 380-2005 Сталь углеродистая обыкновенного качества. Марки», утвержденного Приказом Федерального агентства по техническому регулированию и метрологии от 20 июля</w:t>
      </w:r>
    </w:p>
    <w:p>
      <w:pPr>
        <w:pStyle w:val="Style7"/>
        <w:numPr>
          <w:ilvl w:val="0"/>
          <w:numId w:val="11"/>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г. </w:t>
      </w:r>
      <w:r>
        <w:rPr>
          <w:lang w:val="en-US" w:eastAsia="en-US" w:bidi="en-US"/>
          <w:w w:val="100"/>
          <w:spacing w:val="0"/>
          <w:color w:val="000000"/>
          <w:position w:val="0"/>
        </w:rPr>
        <w:t xml:space="preserve">N9 </w:t>
      </w:r>
      <w:r>
        <w:rPr>
          <w:lang w:val="ru-RU" w:eastAsia="ru-RU" w:bidi="ru-RU"/>
          <w:w w:val="100"/>
          <w:spacing w:val="0"/>
          <w:color w:val="000000"/>
          <w:position w:val="0"/>
        </w:rPr>
        <w:t>185-ст межгосударственный стандарт</w:t>
      </w:r>
      <w:r>
        <w:fldChar w:fldCharType="begin"/>
      </w:r>
      <w:r>
        <w:rPr>
          <w:color w:val="000000"/>
        </w:rPr>
        <w:instrText> HYPERLINK "https://standartgost.ru/g/%D0%93%D0%9E%D0%A1%D0%A2_380-2005" </w:instrText>
      </w:r>
      <w:r>
        <w:fldChar w:fldCharType="separate"/>
      </w:r>
      <w:r>
        <w:rPr>
          <w:rStyle w:val="Hyperlink"/>
          <w:lang w:val="ru-RU" w:eastAsia="ru-RU" w:bidi="ru-RU"/>
          <w:w w:val="100"/>
          <w:spacing w:val="0"/>
          <w:position w:val="0"/>
        </w:rPr>
        <w:t xml:space="preserve"> </w:t>
      </w:r>
      <w:r>
        <w:rPr>
          <w:rStyle w:val="Hyperlink"/>
        </w:rPr>
        <w:t>ГОСТ 380-2005</w:t>
      </w:r>
      <w:r>
        <w:rPr>
          <w:rStyle w:val="Hyperlink"/>
          <w:lang w:val="ru-RU" w:eastAsia="ru-RU" w:bidi="ru-RU"/>
          <w:w w:val="100"/>
          <w:spacing w:val="0"/>
          <w:position w:val="0"/>
        </w:rPr>
        <w:t xml:space="preserve"> </w:t>
      </w:r>
      <w:r>
        <w:fldChar w:fldCharType="end"/>
      </w:r>
      <w:r>
        <w:rPr>
          <w:lang w:val="ru-RU" w:eastAsia="ru-RU" w:bidi="ru-RU"/>
          <w:w w:val="100"/>
          <w:spacing w:val="0"/>
          <w:color w:val="000000"/>
          <w:position w:val="0"/>
        </w:rPr>
        <w:t>и введенного в действие в качестве национального стандарта Российской Федерации с 1 января</w:t>
      </w:r>
    </w:p>
    <w:p>
      <w:pPr>
        <w:pStyle w:val="Style7"/>
        <w:numPr>
          <w:ilvl w:val="0"/>
          <w:numId w:val="11"/>
        </w:numPr>
        <w:widowControl w:val="0"/>
        <w:keepNext w:val="0"/>
        <w:keepLines w:val="0"/>
        <w:shd w:val="clear" w:color="auto" w:fill="auto"/>
        <w:bidi w:val="0"/>
        <w:jc w:val="both"/>
        <w:spacing w:before="0" w:after="118" w:line="322" w:lineRule="exact"/>
        <w:ind w:left="20" w:right="0" w:firstLine="0"/>
      </w:pPr>
      <w:r>
        <w:rPr>
          <w:lang w:val="ru-RU" w:eastAsia="ru-RU" w:bidi="ru-RU"/>
          <w:w w:val="100"/>
          <w:spacing w:val="0"/>
          <w:color w:val="000000"/>
          <w:position w:val="0"/>
        </w:rPr>
        <w:t xml:space="preserve"> г (далее - ГОСТ 380-2005), определены следующие марки стали: </w:t>
      </w:r>
      <w:r>
        <w:rPr>
          <w:rStyle w:val="CharStyle17"/>
        </w:rPr>
        <w:t>«...</w:t>
      </w:r>
    </w:p>
    <w:p>
      <w:pPr>
        <w:pStyle w:val="Style19"/>
        <w:widowControl w:val="0"/>
        <w:keepNext w:val="0"/>
        <w:keepLines w:val="0"/>
        <w:shd w:val="clear" w:color="auto" w:fill="auto"/>
        <w:bidi w:val="0"/>
        <w:spacing w:before="0" w:after="0"/>
        <w:ind w:left="20" w:right="0"/>
      </w:pPr>
      <w:r>
        <w:rPr>
          <w:lang w:val="ru-RU" w:eastAsia="ru-RU" w:bidi="ru-RU"/>
          <w:w w:val="100"/>
          <w:spacing w:val="0"/>
          <w:color w:val="000000"/>
          <w:position w:val="0"/>
        </w:rPr>
        <w:t>3 Марки стали</w:t>
      </w:r>
    </w:p>
    <w:p>
      <w:pPr>
        <w:pStyle w:val="Style19"/>
        <w:numPr>
          <w:ilvl w:val="0"/>
          <w:numId w:val="13"/>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Углеродистую сталь обыкновенного качества изготовляют следующих марок: СтО, Ст1кп, Ст1пс. Ст1сп. Ст2кп. Ст2пс, Ст2сл. СтЗкл, СтЗпс. СтЗсп. СтЗГпс. СтЗГсп. Ст4кп, Ст4пс. Ст4сп. Ст5пс, Стбсп. Ст5Г пс. Стбпс. Стбсп.</w:t>
      </w:r>
    </w:p>
    <w:p>
      <w:pPr>
        <w:pStyle w:val="Style19"/>
        <w:widowControl w:val="0"/>
        <w:keepNext w:val="0"/>
        <w:keepLines w:val="0"/>
        <w:shd w:val="clear" w:color="auto" w:fill="auto"/>
        <w:bidi w:val="0"/>
        <w:spacing w:before="0" w:after="0"/>
        <w:ind w:left="20" w:right="20"/>
      </w:pPr>
      <w:r>
        <w:rPr>
          <w:lang w:val="ru-RU" w:eastAsia="ru-RU" w:bidi="ru-RU"/>
          <w:w w:val="100"/>
          <w:spacing w:val="0"/>
          <w:color w:val="000000"/>
          <w:position w:val="0"/>
        </w:rPr>
        <w:t>Буквы «Ст» обозначают «Сталь», цифры — условный номер марки в зависимости от химического состава, буква «Г» — марганец при его массовой доле в стали 0.80 % и более, буквы «кп», «пс», «сп» — степень раскисления стали: «кп» — кипящая, «пс» — полуслокойная, «сп» — спокойная.</w:t>
      </w:r>
    </w:p>
    <w:p>
      <w:pPr>
        <w:pStyle w:val="Style19"/>
        <w:numPr>
          <w:ilvl w:val="0"/>
          <w:numId w:val="13"/>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Сопоставление марок стали по настоящему стандарту и международным стандартам ИСО 630 и ИСО 1052 приведено в приложении А.</w:t>
      </w:r>
    </w:p>
    <w:p>
      <w:pPr>
        <w:pStyle w:val="Style19"/>
        <w:numPr>
          <w:ilvl w:val="0"/>
          <w:numId w:val="13"/>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Требования к химическому составу стали марок Е 185 </w:t>
      </w:r>
      <w:r>
        <w:rPr>
          <w:lang w:val="en-US" w:eastAsia="en-US" w:bidi="en-US"/>
          <w:w w:val="100"/>
          <w:spacing w:val="0"/>
          <w:color w:val="000000"/>
          <w:position w:val="0"/>
        </w:rPr>
        <w:t xml:space="preserve">(Fe </w:t>
      </w:r>
      <w:r>
        <w:rPr>
          <w:lang w:val="ru-RU" w:eastAsia="ru-RU" w:bidi="ru-RU"/>
          <w:w w:val="100"/>
          <w:spacing w:val="0"/>
          <w:color w:val="000000"/>
          <w:position w:val="0"/>
        </w:rPr>
        <w:t xml:space="preserve">310). Е 235 </w:t>
      </w:r>
      <w:r>
        <w:rPr>
          <w:lang w:val="en-US" w:eastAsia="en-US" w:bidi="en-US"/>
          <w:w w:val="100"/>
          <w:spacing w:val="0"/>
          <w:color w:val="000000"/>
          <w:position w:val="0"/>
        </w:rPr>
        <w:t xml:space="preserve">(Fe </w:t>
      </w:r>
      <w:r>
        <w:rPr>
          <w:lang w:val="ru-RU" w:eastAsia="ru-RU" w:bidi="ru-RU"/>
          <w:w w:val="100"/>
          <w:spacing w:val="0"/>
          <w:color w:val="000000"/>
          <w:position w:val="0"/>
        </w:rPr>
        <w:t xml:space="preserve">360), Е 275 </w:t>
      </w:r>
      <w:r>
        <w:rPr>
          <w:lang w:val="en-US" w:eastAsia="en-US" w:bidi="en-US"/>
          <w:w w:val="100"/>
          <w:spacing w:val="0"/>
          <w:color w:val="000000"/>
          <w:position w:val="0"/>
        </w:rPr>
        <w:t xml:space="preserve">(Fe </w:t>
      </w:r>
      <w:r>
        <w:rPr>
          <w:lang w:val="ru-RU" w:eastAsia="ru-RU" w:bidi="ru-RU"/>
          <w:w w:val="100"/>
          <w:spacing w:val="0"/>
          <w:color w:val="000000"/>
          <w:position w:val="0"/>
        </w:rPr>
        <w:t xml:space="preserve">430), Е 355 </w:t>
      </w:r>
      <w:r>
        <w:rPr>
          <w:lang w:val="en-US" w:eastAsia="en-US" w:bidi="en-US"/>
          <w:w w:val="100"/>
          <w:spacing w:val="0"/>
          <w:color w:val="000000"/>
          <w:position w:val="0"/>
        </w:rPr>
        <w:t xml:space="preserve">(Fe </w:t>
      </w:r>
      <w:r>
        <w:rPr>
          <w:lang w:val="ru-RU" w:eastAsia="ru-RU" w:bidi="ru-RU"/>
          <w:w w:val="100"/>
          <w:spacing w:val="0"/>
          <w:color w:val="000000"/>
          <w:position w:val="0"/>
        </w:rPr>
        <w:t xml:space="preserve">510), </w:t>
      </w:r>
      <w:r>
        <w:rPr>
          <w:lang w:val="en-US" w:eastAsia="en-US" w:bidi="en-US"/>
          <w:w w:val="100"/>
          <w:spacing w:val="0"/>
          <w:color w:val="000000"/>
          <w:position w:val="0"/>
        </w:rPr>
        <w:t xml:space="preserve">Fe </w:t>
      </w:r>
      <w:r>
        <w:rPr>
          <w:lang w:val="ru-RU" w:eastAsia="ru-RU" w:bidi="ru-RU"/>
          <w:w w:val="100"/>
          <w:spacing w:val="0"/>
          <w:color w:val="000000"/>
          <w:position w:val="0"/>
        </w:rPr>
        <w:t xml:space="preserve">490, </w:t>
      </w:r>
      <w:r>
        <w:rPr>
          <w:lang w:val="en-US" w:eastAsia="en-US" w:bidi="en-US"/>
          <w:w w:val="100"/>
          <w:spacing w:val="0"/>
          <w:color w:val="000000"/>
          <w:position w:val="0"/>
        </w:rPr>
        <w:t xml:space="preserve">Fe </w:t>
      </w:r>
      <w:r>
        <w:rPr>
          <w:lang w:val="ru-RU" w:eastAsia="ru-RU" w:bidi="ru-RU"/>
          <w:w w:val="100"/>
          <w:spacing w:val="0"/>
          <w:color w:val="000000"/>
          <w:position w:val="0"/>
        </w:rPr>
        <w:t xml:space="preserve">590. </w:t>
      </w:r>
      <w:r>
        <w:rPr>
          <w:lang w:val="en-US" w:eastAsia="en-US" w:bidi="en-US"/>
          <w:w w:val="100"/>
          <w:spacing w:val="0"/>
          <w:color w:val="000000"/>
          <w:position w:val="0"/>
        </w:rPr>
        <w:t xml:space="preserve">Fe 690 </w:t>
      </w:r>
      <w:r>
        <w:rPr>
          <w:lang w:val="ru-RU" w:eastAsia="ru-RU" w:bidi="ru-RU"/>
          <w:w w:val="100"/>
          <w:spacing w:val="0"/>
          <w:color w:val="000000"/>
          <w:position w:val="0"/>
        </w:rPr>
        <w:t>по международным стандартам ИСО 630 [1 ] и ИС01052 [2] приведены в приложении Б.</w:t>
      </w:r>
    </w:p>
    <w:p>
      <w:pPr>
        <w:pStyle w:val="Style19"/>
        <w:numPr>
          <w:ilvl w:val="0"/>
          <w:numId w:val="13"/>
        </w:numPr>
        <w:widowControl w:val="0"/>
        <w:keepNext w:val="0"/>
        <w:keepLines w:val="0"/>
        <w:shd w:val="clear" w:color="auto" w:fill="auto"/>
        <w:bidi w:val="0"/>
        <w:spacing w:before="0" w:after="0"/>
        <w:ind w:left="20" w:right="0"/>
      </w:pPr>
      <w:r>
        <w:rPr>
          <w:lang w:val="ru-RU" w:eastAsia="ru-RU" w:bidi="ru-RU"/>
          <w:w w:val="100"/>
          <w:spacing w:val="0"/>
          <w:color w:val="000000"/>
          <w:position w:val="0"/>
        </w:rPr>
        <w:t xml:space="preserve"> Степень раскисления, если она не указана в заказе, устанавливает изготовитель.</w:t>
      </w:r>
    </w:p>
    <w:p>
      <w:pPr>
        <w:pStyle w:val="Style7"/>
        <w:widowControl w:val="0"/>
        <w:keepNext w:val="0"/>
        <w:keepLines w:val="0"/>
        <w:shd w:val="clear" w:color="auto" w:fill="auto"/>
        <w:bidi w:val="0"/>
        <w:jc w:val="both"/>
        <w:spacing w:before="0" w:after="0" w:line="322" w:lineRule="exact"/>
        <w:ind w:left="20" w:right="0" w:firstLine="860"/>
      </w:pPr>
      <w:r>
        <w:rPr>
          <w:rStyle w:val="CharStyle17"/>
        </w:rPr>
        <w:t>...»</w:t>
      </w:r>
      <w:r>
        <w:rPr>
          <w:lang w:val="ru-RU" w:eastAsia="ru-RU" w:bidi="ru-RU"/>
          <w:w w:val="100"/>
          <w:spacing w:val="0"/>
          <w:color w:val="000000"/>
          <w:position w:val="0"/>
        </w:rPr>
        <w:t xml:space="preserve"> (цитата ГОСТ 380-2005).</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Заказчиком в техническом задании документации об Аукционе установлены значения показателей марки стали не предусмотренных требованиям соответствующего ГОСТ 380-2005.</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в документации об Аукционе отсутствует обоснование Заказчика о необходимости использования участником закупки значений показателей, не предусмотренных ГОСТ 380-2005.</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подобным образом объекта закупки не является объективным, так как не позволяет участнику в полной мере определить требования к товару (материалу), используемому при выполнении работ и составить заявку надлежащим образом, а также четко и безошибочно определить требования к параметрам, указанным в техническом задании.</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Вышеописанные действия Заказчика, установившего показатели (значения показателей) материалов (товаров), применяемых при выполнении работ по капитальному ремонту, отличных от соответствующих показателей (значений показателей), установленных в соответствии со стандартами, предусмотренными законодательством Российской Федерации о техническом регулировании, нарушают требования пункта 2 части 1 статьи 33, пункта 1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numPr>
          <w:ilvl w:val="0"/>
          <w:numId w:val="7"/>
        </w:numPr>
        <w:tabs>
          <w:tab w:leader="none" w:pos="394" w:val="left"/>
        </w:tabs>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По мнению Заявителя в составе проектно - сметной документации, опубликованной Заказчиком в на официальном сайте Единой информационной системы, отсутствует раздел «Проект организации строительства» (ПОС), что нарушает требования Закона о контрактной системе.</w:t>
      </w:r>
    </w:p>
    <w:p>
      <w:pPr>
        <w:pStyle w:val="Style15"/>
        <w:widowControl w:val="0"/>
        <w:keepNext w:val="0"/>
        <w:keepLines w:val="0"/>
        <w:shd w:val="clear" w:color="auto" w:fill="auto"/>
        <w:bidi w:val="0"/>
        <w:spacing w:before="0" w:after="0" w:line="298" w:lineRule="exact"/>
        <w:ind w:left="20" w:right="20"/>
      </w:pPr>
      <w:r>
        <w:rPr>
          <w:rStyle w:val="CharStyle21"/>
        </w:rPr>
        <w:t>В ходе заседания Комиссии представитель Заказчика пояснил: «.</w:t>
      </w:r>
      <w:r>
        <w:rPr>
          <w:lang w:val="ru-RU" w:eastAsia="ru-RU" w:bidi="ru-RU"/>
          <w:w w:val="100"/>
          <w:spacing w:val="0"/>
          <w:color w:val="000000"/>
          <w:position w:val="0"/>
        </w:rPr>
        <w:t>касаемо третьего довода жалобы, Заказчиком в единой информационной системе размещен проект организации строительства с содержанием в нем функциональных, технических, качественных, эксплуатационных характеристик объекта закупки, требований результатов работ</w:t>
      </w:r>
      <w:r>
        <w:rPr>
          <w:rStyle w:val="CharStyle22"/>
        </w:rPr>
        <w:t>...»</w:t>
      </w:r>
      <w:r>
        <w:rPr>
          <w:rStyle w:val="CharStyle21"/>
        </w:rPr>
        <w:t xml:space="preserve"> (цитата письменных пояснений).</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Вместе с тем, Заявитель не обеспечил явку своих представителей на заседание Комиссии и не предоставил объективных доказательств, свидетельствующих о том, что данным условием Заказчик нарушил требования Закона о контрактной системе и ограничил круг участников Аукциона.</w:t>
      </w:r>
    </w:p>
    <w:p>
      <w:pPr>
        <w:pStyle w:val="Style7"/>
        <w:widowControl w:val="0"/>
        <w:keepNext w:val="0"/>
        <w:keepLines w:val="0"/>
        <w:shd w:val="clear" w:color="auto" w:fill="auto"/>
        <w:bidi w:val="0"/>
        <w:jc w:val="both"/>
        <w:spacing w:before="0" w:after="60" w:line="322" w:lineRule="exact"/>
        <w:ind w:left="20" w:right="20" w:firstLine="84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7"/>
        <w:numPr>
          <w:ilvl w:val="0"/>
          <w:numId w:val="7"/>
        </w:numPr>
        <w:tabs>
          <w:tab w:leader="none" w:pos="1197" w:val="left"/>
        </w:tabs>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качестве довода жалобы Заявитель указывает, что в техническом задании документации об Аукционе Заказчиком указаны товарные знаки товаров, используемых при выполнении работ, без возможности использования эквивалентного товара.</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5"/>
        </w:numPr>
        <w:tabs>
          <w:tab w:leader="none" w:pos="130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5"/>
        </w:numPr>
        <w:tabs>
          <w:tab w:leader="none" w:pos="1234"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изучив документацию об Аукционе, установила, что Заказчиком в техническом задании документации об Аукционе товары (материалы), используемые при выполнении работ по капитальному строительству здания Заказчика, описаны следующим образом: «.</w:t>
      </w:r>
    </w:p>
    <w:p>
      <w:pPr>
        <w:pStyle w:val="Style19"/>
        <w:widowControl w:val="0"/>
        <w:keepNext w:val="0"/>
        <w:keepLines w:val="0"/>
        <w:shd w:val="clear" w:color="auto" w:fill="auto"/>
        <w:bidi w:val="0"/>
        <w:spacing w:before="0" w:after="0" w:line="210" w:lineRule="exact"/>
        <w:ind w:left="0" w:right="0" w:firstLine="720"/>
      </w:pPr>
      <w:r>
        <w:rPr>
          <w:lang w:val="ru-RU" w:eastAsia="ru-RU" w:bidi="ru-RU"/>
          <w:w w:val="100"/>
          <w:spacing w:val="0"/>
          <w:color w:val="000000"/>
          <w:position w:val="0"/>
        </w:rPr>
        <w:t>Технические характеристики объекта:</w:t>
      </w:r>
    </w:p>
    <w:p>
      <w:pPr>
        <w:pStyle w:val="Style19"/>
        <w:widowControl w:val="0"/>
        <w:keepNext w:val="0"/>
        <w:keepLines w:val="0"/>
        <w:shd w:val="clear" w:color="auto" w:fill="auto"/>
        <w:bidi w:val="0"/>
        <w:spacing w:before="0" w:after="176"/>
        <w:ind w:left="0" w:right="20" w:firstLine="720"/>
      </w:pPr>
      <w:r>
        <w:rPr>
          <w:rStyle w:val="CharStyle23"/>
        </w:rPr>
        <w:t>...,</w:t>
      </w:r>
      <w:r>
        <w:rPr>
          <w:lang w:val="ru-RU" w:eastAsia="ru-RU" w:bidi="ru-RU"/>
          <w:w w:val="100"/>
          <w:spacing w:val="0"/>
          <w:color w:val="000000"/>
          <w:position w:val="0"/>
        </w:rPr>
        <w:t xml:space="preserve"> протяженность самотечного коллектора из гофрированной трубы Корсис </w:t>
      </w:r>
      <w:r>
        <w:rPr>
          <w:lang w:val="en-US" w:eastAsia="en-US" w:bidi="en-US"/>
          <w:w w:val="100"/>
          <w:spacing w:val="0"/>
          <w:color w:val="000000"/>
          <w:position w:val="0"/>
        </w:rPr>
        <w:t xml:space="preserve">SN8 </w:t>
      </w:r>
      <w:r>
        <w:rPr>
          <w:lang w:val="ru-RU" w:eastAsia="ru-RU" w:bidi="ru-RU"/>
          <w:w w:val="100"/>
          <w:spacing w:val="0"/>
          <w:color w:val="000000"/>
          <w:position w:val="0"/>
        </w:rPr>
        <w:t xml:space="preserve">ф315/271 мм составляет 45,5 м, протяженность самотечного коллектора из гофрированной трубы Корсис </w:t>
      </w:r>
      <w:r>
        <w:rPr>
          <w:lang w:val="en-US" w:eastAsia="en-US" w:bidi="en-US"/>
          <w:w w:val="100"/>
          <w:spacing w:val="0"/>
          <w:color w:val="000000"/>
          <w:position w:val="0"/>
        </w:rPr>
        <w:t xml:space="preserve">SN8 </w:t>
      </w:r>
      <w:r>
        <w:rPr>
          <w:lang w:val="ru-RU" w:eastAsia="ru-RU" w:bidi="ru-RU"/>
          <w:w w:val="100"/>
          <w:spacing w:val="0"/>
          <w:color w:val="000000"/>
          <w:position w:val="0"/>
        </w:rPr>
        <w:t>ф800/687 мм составляет 27 м..</w:t>
      </w:r>
    </w:p>
    <w:p>
      <w:pPr>
        <w:pStyle w:val="Style19"/>
        <w:widowControl w:val="0"/>
        <w:keepNext w:val="0"/>
        <w:keepLines w:val="0"/>
        <w:shd w:val="clear" w:color="auto" w:fill="auto"/>
        <w:bidi w:val="0"/>
        <w:spacing w:before="0" w:after="0" w:line="254" w:lineRule="exact"/>
        <w:ind w:left="0" w:right="20" w:firstLine="720"/>
      </w:pPr>
      <w:r>
        <w:rPr>
          <w:lang w:val="ru-RU" w:eastAsia="ru-RU" w:bidi="ru-RU"/>
          <w:w w:val="100"/>
          <w:spacing w:val="0"/>
          <w:color w:val="000000"/>
          <w:position w:val="0"/>
        </w:rPr>
        <w:t xml:space="preserve">- выполнение подключений существующих сетей гофрированными трубами Корсис </w:t>
      </w:r>
      <w:r>
        <w:rPr>
          <w:lang w:val="en-US" w:eastAsia="en-US" w:bidi="en-US"/>
          <w:w w:val="100"/>
          <w:spacing w:val="0"/>
          <w:color w:val="000000"/>
          <w:position w:val="0"/>
        </w:rPr>
        <w:t xml:space="preserve">SN8 </w:t>
      </w:r>
      <w:r>
        <w:rPr>
          <w:lang w:val="ru-RU" w:eastAsia="ru-RU" w:bidi="ru-RU"/>
          <w:w w:val="100"/>
          <w:spacing w:val="0"/>
          <w:color w:val="000000"/>
          <w:position w:val="0"/>
        </w:rPr>
        <w:t>ф315/271 мм протяженностью 45,5 м и ф800/687 мм протяженностью 27 метров.</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ходе заседания Комиссии представители Заказчика, Уполномоченного органа пояснили, что эквивалентность предлагаемого товара будет устанавливаться по комплектности, всем показателям и их значениям, в том числе техническим и функциональным параметрам, установленным в техническом задании документации об Аукционе. По всем поз</w:t>
      </w:r>
      <w:r>
        <w:rPr>
          <w:rStyle w:val="CharStyle18"/>
        </w:rPr>
        <w:t>ици</w:t>
      </w:r>
      <w:r>
        <w:rPr>
          <w:lang w:val="ru-RU" w:eastAsia="ru-RU" w:bidi="ru-RU"/>
          <w:w w:val="100"/>
          <w:spacing w:val="0"/>
          <w:color w:val="000000"/>
          <w:position w:val="0"/>
        </w:rPr>
        <w:t>ям материалов, в которых имеется указание на товарные знаки, следует считать «или эквивалент».</w:t>
      </w:r>
    </w:p>
    <w:p>
      <w:pPr>
        <w:pStyle w:val="Style7"/>
        <w:widowControl w:val="0"/>
        <w:keepNext w:val="0"/>
        <w:keepLines w:val="0"/>
        <w:shd w:val="clear" w:color="auto" w:fill="auto"/>
        <w:bidi w:val="0"/>
        <w:jc w:val="both"/>
        <w:spacing w:before="0" w:after="60" w:line="322" w:lineRule="exact"/>
        <w:ind w:left="20" w:right="180" w:firstLine="860"/>
      </w:pPr>
      <w:r>
        <w:rPr>
          <w:lang w:val="ru-RU" w:eastAsia="ru-RU" w:bidi="ru-RU"/>
          <w:w w:val="100"/>
          <w:spacing w:val="0"/>
          <w:color w:val="000000"/>
          <w:position w:val="0"/>
        </w:rPr>
        <w:t>Учитывая приведенное, Комиссия приходит к выводу, что действия Заказчика, указавшего в техническом задании документации об Аукционе торговое наименование товаров, предполагаемых использовать при выполнении работ, без обязательного условия включения в описание объекта закупки слов «или эквивалент», нарушают требования пункта 1 части 1 статьи 33, пункта 2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Кодекса Российской Федерации об административных правонарушениях.</w:t>
      </w:r>
    </w:p>
    <w:p>
      <w:pPr>
        <w:pStyle w:val="Style7"/>
        <w:numPr>
          <w:ilvl w:val="0"/>
          <w:numId w:val="7"/>
        </w:numPr>
        <w:tabs>
          <w:tab w:leader="none" w:pos="1192"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Внеплановая проверка процедуры закупки в соответствии с частью 15 статьи 99 Закона о контрактной системе, пунктом 3.30 Административного регламента от 19.11.2014 №727/14, Комиссией не проводится ввиду проведения данной проверки при рассмотрении материалов дела №06/4271-17 по жалобе ООО «ОВК ЮГ»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результатам проверки Комиссия решением от 14.11.2017 по делу №06/4271-17 признала Заказчика нарушившим требования пунктов 1, 2 части 1 статьи 33, пунктов 1, 2 части 1 статьи 64, части 6 статьи 66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Заказчику выдано предписание от 14.11.2017 по делу №06/4271-17 об устранении нарушений законодательства Российской Федерации о контрактной системе в сфере закупок, а именно при рассмотрении заявок участников на участие в Аукционе не учитывать требований к товарам, используемых при выполнении работ с учетом решения от 14.11.2017 по делу №06/4271-17 и осуществления дальнейшего проведения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Решением от 14.11.2017 по делу №06/4271-17 материалы дела №06/4271-17 переданы соответствующему должностному лицу Крымского УФАС России для рассмотрения вопроса о возбуждении дела об административном правонарушении.</w:t>
      </w:r>
    </w:p>
    <w:p>
      <w:pPr>
        <w:pStyle w:val="Style7"/>
        <w:widowControl w:val="0"/>
        <w:keepNext w:val="0"/>
        <w:keepLines w:val="0"/>
        <w:shd w:val="clear" w:color="auto" w:fill="auto"/>
        <w:bidi w:val="0"/>
        <w:jc w:val="both"/>
        <w:spacing w:before="0" w:after="109" w:line="322" w:lineRule="exact"/>
        <w:ind w:left="2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117" w:line="260" w:lineRule="exact"/>
        <w:ind w:left="60" w:right="0" w:firstLine="0"/>
      </w:pPr>
      <w:r>
        <w:rPr>
          <w:lang w:val="ru-RU" w:eastAsia="ru-RU" w:bidi="ru-RU"/>
          <w:w w:val="100"/>
          <w:spacing w:val="0"/>
          <w:color w:val="000000"/>
          <w:position w:val="0"/>
        </w:rPr>
        <w:t>РЕШИЛА:</w:t>
      </w:r>
    </w:p>
    <w:p>
      <w:pPr>
        <w:pStyle w:val="Style7"/>
        <w:numPr>
          <w:ilvl w:val="0"/>
          <w:numId w:val="17"/>
        </w:numPr>
        <w:tabs>
          <w:tab w:leader="none" w:pos="1172" w:val="left"/>
        </w:tabs>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Признать жалобу Заявителя обоснованной частично.</w:t>
      </w:r>
      <w:r>
        <w:br w:type="page"/>
      </w:r>
    </w:p>
    <w:p>
      <w:pPr>
        <w:pStyle w:val="Style7"/>
        <w:numPr>
          <w:ilvl w:val="0"/>
          <w:numId w:val="17"/>
        </w:numPr>
        <w:widowControl w:val="0"/>
        <w:keepNext w:val="0"/>
        <w:keepLines w:val="0"/>
        <w:shd w:val="clear" w:color="auto" w:fill="auto"/>
        <w:bidi w:val="0"/>
        <w:jc w:val="both"/>
        <w:spacing w:before="0" w:after="64" w:line="326" w:lineRule="exact"/>
        <w:ind w:left="20" w:right="0" w:firstLine="860"/>
      </w:pPr>
      <w:r>
        <w:rPr>
          <w:lang w:val="ru-RU" w:eastAsia="ru-RU" w:bidi="ru-RU"/>
          <w:w w:val="100"/>
          <w:spacing w:val="0"/>
          <w:color w:val="000000"/>
          <w:position w:val="0"/>
        </w:rPr>
        <w:t xml:space="preserve"> Признать Заказчика нарушившим требования пунктов 1, 2 части 1 статьи 33, пунктов 1, 2 части 1 статьи 64, части 6 статьи 66 Закона о контрактной системе.</w:t>
      </w:r>
    </w:p>
    <w:p>
      <w:pPr>
        <w:pStyle w:val="Style7"/>
        <w:numPr>
          <w:ilvl w:val="0"/>
          <w:numId w:val="17"/>
        </w:numPr>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 xml:space="preserve"> Заказчику, Уполномоченному органу предписание об устранении нарушений законодательства Российской Федерации о контрактной системе в сфере закупок не выдавать, т.к. по установленным нарушениям выдано предписание по делу №06/4271-17.</w:t>
      </w:r>
    </w:p>
    <w:p>
      <w:pPr>
        <w:pStyle w:val="Style7"/>
        <w:numPr>
          <w:ilvl w:val="0"/>
          <w:numId w:val="17"/>
        </w:numPr>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 xml:space="preserve"> Материалы по делу №06/4267-17 соответствующему должностному лицу Крымского УФАС России для рассмотрения вопроса о возбуждении дела об административном правонарушении не передавать, в виду передачи материалов дела №06/4271-17.</w:t>
      </w:r>
    </w:p>
    <w:p>
      <w:pPr>
        <w:pStyle w:val="Style7"/>
        <w:numPr>
          <w:ilvl w:val="0"/>
          <w:numId w:val="17"/>
        </w:numPr>
        <w:widowControl w:val="0"/>
        <w:keepNext w:val="0"/>
        <w:keepLines w:val="0"/>
        <w:shd w:val="clear" w:color="auto" w:fill="auto"/>
        <w:bidi w:val="0"/>
        <w:jc w:val="both"/>
        <w:spacing w:before="0" w:after="60" w:line="322" w:lineRule="exact"/>
        <w:ind w:left="2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№06/12750.</w:t>
      </w:r>
    </w:p>
    <w:p>
      <w:pPr>
        <w:pStyle w:val="Style7"/>
        <w:framePr w:w="2158" w:h="1929" w:wrap="around" w:vAnchor="text" w:hAnchor="margin" w:x="7713" w:y="975"/>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both"/>
        <w:spacing w:before="0" w:after="347" w:line="322" w:lineRule="exact"/>
        <w:ind w:left="2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20" w:right="324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footnotePr>
        <w:pos w:val="pageBottom"/>
        <w:numFmt w:val="decimal"/>
        <w:numRestart w:val="continuous"/>
      </w:footnotePr>
      <w:type w:val="continuous"/>
      <w:pgSz w:w="11906" w:h="16838"/>
      <w:pgMar w:top="1605" w:left="920" w:right="762" w:bottom="103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07"/>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3.%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Курсив"/>
    <w:basedOn w:val="CharStyle9"/>
    <w:rPr>
      <w:lang w:val="en-US" w:eastAsia="en-US" w:bidi="en-US"/>
      <w:i/>
      <w:iCs/>
      <w:w w:val="100"/>
      <w:spacing w:val="0"/>
      <w:color w:val="000000"/>
      <w:position w:val="0"/>
    </w:rPr>
  </w:style>
  <w:style w:type="character" w:customStyle="1" w:styleId="CharStyle13">
    <w:name w:val="Основной текст"/>
    <w:basedOn w:val="CharStyle9"/>
    <w:rPr>
      <w:lang w:val="ru-RU" w:eastAsia="ru-RU" w:bidi="ru-RU"/>
      <w:w w:val="100"/>
      <w:spacing w:val="0"/>
      <w:color w:val="000000"/>
      <w:position w:val="0"/>
    </w:rPr>
  </w:style>
  <w:style w:type="character" w:customStyle="1" w:styleId="CharStyle14">
    <w:name w:val="Основной текст"/>
    <w:basedOn w:val="CharStyle9"/>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 Интервал 1 pt"/>
    <w:basedOn w:val="CharStyle9"/>
    <w:rPr>
      <w:lang w:val="ru-RU" w:eastAsia="ru-RU" w:bidi="ru-RU"/>
      <w:w w:val="100"/>
      <w:spacing w:val="30"/>
      <w:color w:val="000000"/>
      <w:position w:val="0"/>
    </w:rPr>
  </w:style>
  <w:style w:type="character" w:customStyle="1" w:styleId="CharStyle18">
    <w:name w:val="Основной текст"/>
    <w:basedOn w:val="CharStyle9"/>
    <w:rPr>
      <w:lang w:val="ru-RU" w:eastAsia="ru-RU" w:bidi="ru-RU"/>
      <w:u w:val="single"/>
      <w:w w:val="100"/>
      <w:spacing w:val="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21"/>
      <w:szCs w:val="21"/>
      <w:rFonts w:ascii="Times New Roman" w:eastAsia="Times New Roman" w:hAnsi="Times New Roman" w:cs="Times New Roman"/>
    </w:rPr>
  </w:style>
  <w:style w:type="character" w:customStyle="1" w:styleId="CharStyle21">
    <w:name w:val="Основной текст (5) + 13 pt"/>
    <w:basedOn w:val="CharStyle16"/>
    <w:rPr>
      <w:lang w:val="ru-RU" w:eastAsia="ru-RU" w:bidi="ru-RU"/>
      <w:sz w:val="26"/>
      <w:szCs w:val="26"/>
      <w:w w:val="100"/>
      <w:spacing w:val="0"/>
      <w:color w:val="000000"/>
      <w:position w:val="0"/>
    </w:rPr>
  </w:style>
  <w:style w:type="character" w:customStyle="1" w:styleId="CharStyle22">
    <w:name w:val="Основной текст (5) + 13 pt,Интервал 1 pt"/>
    <w:basedOn w:val="CharStyle16"/>
    <w:rPr>
      <w:lang w:val="ru-RU" w:eastAsia="ru-RU" w:bidi="ru-RU"/>
      <w:sz w:val="26"/>
      <w:szCs w:val="26"/>
      <w:w w:val="100"/>
      <w:spacing w:val="30"/>
      <w:color w:val="000000"/>
      <w:position w:val="0"/>
    </w:rPr>
  </w:style>
  <w:style w:type="character" w:customStyle="1" w:styleId="CharStyle23">
    <w:name w:val="Основной текст (6)"/>
    <w:basedOn w:val="CharStyle20"/>
    <w:rPr>
      <w:lang w:val="ru-RU" w:eastAsia="ru-RU" w:bidi="ru-RU"/>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0" w:lineRule="exact"/>
      <w:ind w:hanging="496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line="278" w:lineRule="exact"/>
      <w:ind w:firstLine="840"/>
    </w:pPr>
    <w:rPr>
      <w:b w:val="0"/>
      <w:bCs w:val="0"/>
      <w:i w:val="0"/>
      <w:iCs w:val="0"/>
      <w:u w:val="none"/>
      <w:strike w:val="0"/>
      <w:smallCaps w:val="0"/>
      <w:sz w:val="22"/>
      <w:szCs w:val="22"/>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jc w:val="both"/>
      <w:spacing w:before="60" w:line="250" w:lineRule="exact"/>
      <w:ind w:firstLine="480"/>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