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1" w:after="89"/>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Архангельской области</w:t>
      </w:r>
    </w:p>
    <w:p>
      <w:pPr>
        <w:pStyle w:val="Style3"/>
        <w:widowControl w:val="0"/>
        <w:keepNext w:val="0"/>
        <w:keepLines w:val="0"/>
        <w:shd w:val="clear" w:color="auto" w:fill="auto"/>
        <w:bidi w:val="0"/>
        <w:jc w:val="left"/>
        <w:spacing w:before="0" w:after="0" w:line="418" w:lineRule="exact"/>
        <w:ind w:left="20" w:right="2460" w:firstLine="0"/>
      </w:pPr>
      <w:r>
        <w:rPr>
          <w:lang w:val="ru-RU" w:eastAsia="ru-RU" w:bidi="ru-RU"/>
          <w:w w:val="100"/>
          <w:spacing w:val="0"/>
          <w:color w:val="000000"/>
          <w:position w:val="0"/>
        </w:rPr>
        <w:t xml:space="preserve">Дело № 357мз-17 </w:t>
      </w:r>
      <w:r>
        <w:rPr>
          <w:rStyle w:val="CharStyle9"/>
          <w:b/>
          <w:bCs/>
        </w:rPr>
        <w:t>Заказчик :</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Управление строительства, архитектуры и жилищно-коммунального хозяйства администрация муниципального образования «Няндомский муниципальный район»</w:t>
      </w:r>
    </w:p>
    <w:p>
      <w:pPr>
        <w:pStyle w:val="Style10"/>
        <w:widowControl w:val="0"/>
        <w:keepNext w:val="0"/>
        <w:keepLines w:val="0"/>
        <w:shd w:val="clear" w:color="auto" w:fill="auto"/>
        <w:bidi w:val="0"/>
        <w:jc w:val="left"/>
        <w:spacing w:before="0" w:after="0"/>
        <w:ind w:left="20" w:right="720" w:firstLine="0"/>
        <w:sectPr>
          <w:footnotePr>
            <w:pos w:val="pageBottom"/>
            <w:numFmt w:val="decimal"/>
            <w:numRestart w:val="continuous"/>
          </w:footnotePr>
          <w:type w:val="continuous"/>
          <w:pgSz w:w="11906" w:h="16838"/>
          <w:pgMar w:top="481" w:left="694" w:right="1155" w:bottom="519" w:header="0" w:footer="3" w:gutter="0"/>
          <w:rtlGutter w:val="0"/>
          <w:cols w:num="2" w:space="720" w:equalWidth="0">
            <w:col w:w="4738" w:space="1181"/>
            <w:col w:w="4138"/>
          </w:cols>
          <w:noEndnote/>
          <w:docGrid w:linePitch="360"/>
        </w:sectPr>
      </w:pPr>
      <w:r>
        <w:rPr>
          <w:lang w:val="ru-RU" w:eastAsia="ru-RU" w:bidi="ru-RU"/>
          <w:w w:val="100"/>
          <w:spacing w:val="0"/>
          <w:color w:val="000000"/>
          <w:position w:val="0"/>
        </w:rPr>
        <w:t xml:space="preserve">164200, Архангельская область, г. Няндома, ул. 60 лет Октября, д. 13 </w:t>
      </w:r>
      <w:r>
        <w:rPr>
          <w:lang w:val="en-US" w:eastAsia="en-US" w:bidi="en-US"/>
          <w:w w:val="100"/>
          <w:spacing w:val="0"/>
          <w:color w:val="000000"/>
          <w:position w:val="0"/>
        </w:rPr>
        <w:t xml:space="preserve">E-mail: </w:t>
      </w:r>
      <w:r>
        <w:fldChar w:fldCharType="begin"/>
      </w:r>
      <w:r>
        <w:rPr>
          <w:color w:val="000000"/>
        </w:rPr>
        <w:instrText> HYPERLINK "mailto:upravsagkh@yandex.ru" </w:instrText>
      </w:r>
      <w:r>
        <w:fldChar w:fldCharType="separate"/>
      </w:r>
      <w:r>
        <w:rPr>
          <w:rStyle w:val="Hyperlink"/>
          <w:lang w:val="en-US" w:eastAsia="en-US" w:bidi="en-US"/>
          <w:w w:val="100"/>
          <w:spacing w:val="0"/>
          <w:position w:val="0"/>
        </w:rPr>
        <w:t>upravsagkh@yandex.ru</w:t>
      </w:r>
      <w:r>
        <w:fldChar w:fldCharType="end"/>
      </w: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10" w:wrap="around" w:vAnchor="text" w:hAnchor="margin" w:x="-733" w:y="1369"/>
        <w:widowControl w:val="0"/>
        <w:keepNext w:val="0"/>
        <w:keepLines w:val="0"/>
        <w:shd w:val="clear" w:color="auto" w:fill="auto"/>
        <w:bidi w:val="0"/>
        <w:jc w:val="left"/>
        <w:spacing w:before="0" w:after="0" w:line="210" w:lineRule="exact"/>
        <w:ind w:left="0" w:right="0" w:firstLine="0"/>
      </w:pPr>
      <w:r>
        <w:rPr>
          <w:rStyle w:val="CharStyle13"/>
          <w:spacing w:val="0"/>
        </w:rPr>
        <w:t>На №</w:t>
      </w:r>
    </w:p>
    <w:p>
      <w:pPr>
        <w:widowControl w:val="0"/>
        <w:rPr>
          <w:sz w:val="2"/>
          <w:szCs w:val="2"/>
        </w:rPr>
      </w:pPr>
    </w:p>
    <w:p>
      <w:pPr>
        <w:pStyle w:val="Style14"/>
        <w:widowControl w:val="0"/>
        <w:keepNext w:val="0"/>
        <w:keepLines w:val="0"/>
        <w:shd w:val="clear" w:color="auto" w:fill="auto"/>
        <w:bidi w:val="0"/>
        <w:spacing w:before="0" w:after="754"/>
        <w:ind w:left="0" w:right="0" w:firstLine="0"/>
      </w:pPr>
      <w:r>
        <w:rPr>
          <w:rStyle w:val="CharStyle16"/>
        </w:rPr>
        <w:t xml:space="preserve">ул. К. Либкнехта, 2, г. Архангельск, 163000 Тел.: (8182) 20-73-21, факс: (8182)21-54-45 </w:t>
      </w:r>
      <w:r>
        <w:rPr>
          <w:rStyle w:val="CharStyle16"/>
          <w:lang w:val="en-US" w:eastAsia="en-US" w:bidi="en-US"/>
        </w:rPr>
        <w:t xml:space="preserve">e-mail: </w:t>
      </w:r>
      <w:r>
        <w:fldChar w:fldCharType="begin"/>
      </w:r>
      <w:r>
        <w:rPr>
          <w:rStyle w:val="CharStyle16"/>
        </w:rPr>
        <w:instrText> HYPERLINK "mailto:to29@fas.gov.ru" </w:instrText>
      </w:r>
      <w:r>
        <w:fldChar w:fldCharType="separate"/>
      </w:r>
      <w:r>
        <w:rPr>
          <w:rStyle w:val="Hyperlink"/>
          <w:lang w:val="en-US" w:eastAsia="en-US" w:bidi="en-US"/>
        </w:rPr>
        <w:t>to29@fas.gov.ru</w:t>
      </w:r>
      <w:r>
        <w:fldChar w:fldCharType="end"/>
      </w:r>
    </w:p>
    <w:p>
      <w:pPr>
        <w:pStyle w:val="Style10"/>
        <w:widowControl w:val="0"/>
        <w:keepNext w:val="0"/>
        <w:keepLines w:val="0"/>
        <w:shd w:val="clear" w:color="auto" w:fill="auto"/>
        <w:bidi w:val="0"/>
        <w:jc w:val="center"/>
        <w:spacing w:before="0" w:after="0" w:line="230" w:lineRule="exact"/>
        <w:ind w:left="0" w:right="200" w:firstLine="0"/>
      </w:pPr>
      <w:r>
        <w:rPr>
          <w:rStyle w:val="CharStyle17"/>
        </w:rPr>
        <w:t>от</w:t>
      </w:r>
    </w:p>
    <w:p>
      <w:pPr>
        <w:pStyle w:val="Style3"/>
        <w:widowControl w:val="0"/>
        <w:keepNext w:val="0"/>
        <w:keepLines w:val="0"/>
        <w:shd w:val="clear" w:color="auto" w:fill="auto"/>
        <w:bidi w:val="0"/>
        <w:jc w:val="left"/>
        <w:spacing w:before="0" w:after="0" w:line="250" w:lineRule="exact"/>
        <w:ind w:left="20" w:right="0" w:firstLine="0"/>
      </w:pPr>
      <w:r>
        <w:rPr>
          <w:rStyle w:val="CharStyle9"/>
          <w:b/>
          <w:bCs/>
        </w:rPr>
        <w:t>Оператор электронной площадки:</w:t>
      </w:r>
    </w:p>
    <w:p>
      <w:pPr>
        <w:pStyle w:val="Style3"/>
        <w:widowControl w:val="0"/>
        <w:keepNext w:val="0"/>
        <w:keepLines w:val="0"/>
        <w:shd w:val="clear" w:color="auto" w:fill="auto"/>
        <w:bidi w:val="0"/>
        <w:jc w:val="left"/>
        <w:spacing w:before="0" w:after="0" w:line="250" w:lineRule="exact"/>
        <w:ind w:left="20" w:right="720" w:firstLine="0"/>
      </w:pPr>
      <w:r>
        <w:rPr>
          <w:lang w:val="ru-RU" w:eastAsia="ru-RU" w:bidi="ru-RU"/>
          <w:w w:val="100"/>
          <w:spacing w:val="0"/>
          <w:color w:val="000000"/>
          <w:position w:val="0"/>
        </w:rPr>
        <w:t>АО «Единая электронная торговая площадка»</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117312, г. Москва, ул. Кожевническая, д. 14, стр. 5</w:t>
      </w:r>
    </w:p>
    <w:p>
      <w:pPr>
        <w:pStyle w:val="Style10"/>
        <w:widowControl w:val="0"/>
        <w:keepNext w:val="0"/>
        <w:keepLines w:val="0"/>
        <w:shd w:val="clear" w:color="auto" w:fill="auto"/>
        <w:bidi w:val="0"/>
        <w:jc w:val="left"/>
        <w:spacing w:before="0" w:after="0" w:line="50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rPr>
          <w:rStyle w:val="CharStyle18"/>
        </w:rPr>
        <w:t>Заявитель:</w:t>
      </w:r>
    </w:p>
    <w:p>
      <w:pPr>
        <w:pStyle w:val="Style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ООО "Профит-плюс"</w:t>
      </w:r>
    </w:p>
    <w:p>
      <w:pPr>
        <w:pStyle w:val="Style10"/>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108811, г. Москва г Московский,</w:t>
      </w:r>
    </w:p>
    <w:p>
      <w:pPr>
        <w:pStyle w:val="Style10"/>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ул. Атласова, д. 9</w:t>
      </w:r>
    </w:p>
    <w:p>
      <w:pPr>
        <w:pStyle w:val="Style10"/>
        <w:widowControl w:val="0"/>
        <w:keepNext w:val="0"/>
        <w:keepLines w:val="0"/>
        <w:shd w:val="clear" w:color="auto" w:fill="auto"/>
        <w:bidi w:val="0"/>
        <w:jc w:val="left"/>
        <w:spacing w:before="0" w:after="0" w:line="245" w:lineRule="exact"/>
        <w:ind w:left="20" w:right="0" w:firstLine="0"/>
        <w:sectPr>
          <w:type w:val="continuous"/>
          <w:pgSz w:w="11906" w:h="16838"/>
          <w:pgMar w:top="466" w:left="1395" w:right="1097" w:bottom="504" w:header="0" w:footer="3" w:gutter="0"/>
          <w:rtlGutter w:val="0"/>
          <w:cols w:num="2" w:space="720" w:equalWidth="0">
            <w:col w:w="3336" w:space="1877"/>
            <w:col w:w="4200"/>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"mailto:moscow@profitp.su" </w:instrText>
      </w:r>
      <w:r>
        <w:fldChar w:fldCharType="separate"/>
      </w:r>
      <w:r>
        <w:rPr>
          <w:rStyle w:val="Hyperlink"/>
          <w:lang w:val="en-US" w:eastAsia="en-US" w:bidi="en-US"/>
          <w:w w:val="100"/>
          <w:spacing w:val="0"/>
          <w:position w:val="0"/>
        </w:rPr>
        <w:t>moscow@profitp.su</w:t>
      </w:r>
      <w:r>
        <w:fldChar w:fldCharType="end"/>
      </w: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123" w:line="230" w:lineRule="exact"/>
        <w:ind w:left="4740" w:right="0" w:firstLine="0"/>
      </w:pPr>
      <w:r>
        <w:rPr>
          <w:lang w:val="ru-RU" w:eastAsia="ru-RU" w:bidi="ru-RU"/>
          <w:w w:val="100"/>
          <w:spacing w:val="0"/>
          <w:color w:val="000000"/>
          <w:position w:val="0"/>
        </w:rPr>
        <w:t>РЕШЕНИЕ</w:t>
      </w:r>
    </w:p>
    <w:p>
      <w:pPr>
        <w:pStyle w:val="Style6"/>
        <w:tabs>
          <w:tab w:leader="none" w:pos="8605" w:val="right"/>
          <w:tab w:leader="none" w:pos="10066" w:val="right"/>
        </w:tabs>
        <w:widowControl w:val="0"/>
        <w:keepNext w:val="0"/>
        <w:keepLines w:val="0"/>
        <w:shd w:val="clear" w:color="auto" w:fill="auto"/>
        <w:bidi w:val="0"/>
        <w:jc w:val="both"/>
        <w:spacing w:before="0" w:after="96" w:line="230" w:lineRule="exact"/>
        <w:ind w:left="560" w:right="0" w:firstLine="0"/>
      </w:pPr>
      <w:r>
        <w:rPr>
          <w:lang w:val="ru-RU" w:eastAsia="ru-RU" w:bidi="ru-RU"/>
          <w:w w:val="100"/>
          <w:spacing w:val="0"/>
          <w:color w:val="000000"/>
          <w:position w:val="0"/>
        </w:rPr>
        <w:t>14 ноября 2017 года</w:t>
        <w:tab/>
        <w:t>г.</w:t>
        <w:tab/>
        <w:t>Архангельск</w:t>
      </w:r>
    </w:p>
    <w:p>
      <w:pPr>
        <w:pStyle w:val="Style10"/>
        <w:widowControl w:val="0"/>
        <w:keepNext w:val="0"/>
        <w:keepLines w:val="0"/>
        <w:shd w:val="clear" w:color="auto" w:fill="auto"/>
        <w:bidi w:val="0"/>
        <w:jc w:val="both"/>
        <w:spacing w:before="0" w:after="0" w:line="264" w:lineRule="exact"/>
        <w:ind w:left="560" w:right="58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6"/>
        <w:widowControl w:val="0"/>
        <w:keepNext w:val="0"/>
        <w:keepLines w:val="0"/>
        <w:shd w:val="clear" w:color="auto" w:fill="auto"/>
        <w:bidi w:val="0"/>
        <w:jc w:val="left"/>
        <w:spacing w:before="0" w:after="123" w:line="230" w:lineRule="exact"/>
        <w:ind w:left="1140" w:right="0" w:firstLine="0"/>
      </w:pPr>
      <w:r>
        <w:rPr>
          <w:rStyle w:val="CharStyle19"/>
          <w:b/>
          <w:bCs/>
        </w:rPr>
        <w:t>Председатель комиссии:</w:t>
      </w:r>
    </w:p>
    <w:p>
      <w:pPr>
        <w:pStyle w:val="Style10"/>
        <w:tabs>
          <w:tab w:leader="none" w:pos="2744" w:val="left"/>
          <w:tab w:leader="none" w:pos="9272" w:val="center"/>
        </w:tabs>
        <w:widowControl w:val="0"/>
        <w:keepNext w:val="0"/>
        <w:keepLines w:val="0"/>
        <w:shd w:val="clear" w:color="auto" w:fill="auto"/>
        <w:bidi w:val="0"/>
        <w:jc w:val="both"/>
        <w:spacing w:before="0" w:after="65" w:line="230" w:lineRule="exact"/>
        <w:ind w:left="560" w:right="0" w:firstLine="0"/>
      </w:pPr>
      <w:r>
        <w:rPr>
          <w:lang w:val="ru-RU" w:eastAsia="ru-RU" w:bidi="ru-RU"/>
          <w:w w:val="100"/>
          <w:spacing w:val="0"/>
          <w:color w:val="000000"/>
          <w:position w:val="0"/>
        </w:rPr>
        <w:t>Короткова И.Ю.</w:t>
        <w:tab/>
        <w:t>Заместитель руководителя Управления - начальник отдела</w:t>
        <w:tab/>
        <w:t>контроля</w:t>
      </w:r>
    </w:p>
    <w:p>
      <w:pPr>
        <w:pStyle w:val="Style10"/>
        <w:widowControl w:val="0"/>
        <w:keepNext w:val="0"/>
        <w:keepLines w:val="0"/>
        <w:shd w:val="clear" w:color="auto" w:fill="auto"/>
        <w:bidi w:val="0"/>
        <w:jc w:val="left"/>
        <w:spacing w:before="0" w:after="113" w:line="230" w:lineRule="exact"/>
        <w:ind w:left="2800" w:right="0" w:firstLine="0"/>
      </w:pPr>
      <w:r>
        <w:rPr>
          <w:lang w:val="ru-RU" w:eastAsia="ru-RU" w:bidi="ru-RU"/>
          <w:w w:val="100"/>
          <w:spacing w:val="0"/>
          <w:color w:val="000000"/>
          <w:position w:val="0"/>
        </w:rPr>
        <w:t>закупок,</w:t>
      </w:r>
    </w:p>
    <w:p>
      <w:pPr>
        <w:pStyle w:val="Style6"/>
        <w:widowControl w:val="0"/>
        <w:keepNext w:val="0"/>
        <w:keepLines w:val="0"/>
        <w:shd w:val="clear" w:color="auto" w:fill="auto"/>
        <w:bidi w:val="0"/>
        <w:jc w:val="left"/>
        <w:spacing w:before="0" w:after="0" w:line="230" w:lineRule="exact"/>
        <w:ind w:left="1140" w:right="0" w:firstLine="0"/>
      </w:pPr>
      <w:r>
        <w:rPr>
          <w:rStyle w:val="CharStyle19"/>
          <w:b/>
          <w:bCs/>
        </w:rPr>
        <w:t>Члены комиссии:</w:t>
      </w:r>
    </w:p>
    <w:p>
      <w:pPr>
        <w:pStyle w:val="Style10"/>
        <w:tabs>
          <w:tab w:leader="none" w:pos="2744" w:val="left"/>
        </w:tabs>
        <w:widowControl w:val="0"/>
        <w:keepNext w:val="0"/>
        <w:keepLines w:val="0"/>
        <w:shd w:val="clear" w:color="auto" w:fill="auto"/>
        <w:bidi w:val="0"/>
        <w:jc w:val="both"/>
        <w:spacing w:before="0" w:after="0" w:line="269" w:lineRule="exact"/>
        <w:ind w:left="560" w:right="0" w:firstLine="0"/>
      </w:pPr>
      <w:r>
        <w:rPr>
          <w:lang w:val="ru-RU" w:eastAsia="ru-RU" w:bidi="ru-RU"/>
          <w:w w:val="100"/>
          <w:spacing w:val="0"/>
          <w:color w:val="000000"/>
          <w:position w:val="0"/>
        </w:rPr>
        <w:t>Крупчак Т.С.</w:t>
        <w:tab/>
        <w:t>Ведущий специалист-эксперт отдела контроля закупок,</w:t>
      </w:r>
    </w:p>
    <w:p>
      <w:pPr>
        <w:pStyle w:val="Style10"/>
        <w:tabs>
          <w:tab w:leader="none" w:pos="2744" w:val="left"/>
        </w:tabs>
        <w:widowControl w:val="0"/>
        <w:keepNext w:val="0"/>
        <w:keepLines w:val="0"/>
        <w:shd w:val="clear" w:color="auto" w:fill="auto"/>
        <w:bidi w:val="0"/>
        <w:jc w:val="both"/>
        <w:spacing w:before="0" w:after="0" w:line="269" w:lineRule="exact"/>
        <w:ind w:left="560" w:right="0" w:firstLine="0"/>
      </w:pPr>
      <w:r>
        <w:rPr>
          <w:lang w:val="ru-RU" w:eastAsia="ru-RU" w:bidi="ru-RU"/>
          <w:w w:val="100"/>
          <w:spacing w:val="0"/>
          <w:color w:val="000000"/>
          <w:position w:val="0"/>
        </w:rPr>
        <w:t>Малышева О.С.</w:t>
        <w:tab/>
        <w:t>Специалист-эксперт отдела контроля закупок;</w:t>
      </w:r>
    </w:p>
    <w:p>
      <w:pPr>
        <w:pStyle w:val="Style10"/>
        <w:tabs>
          <w:tab w:leader="none" w:pos="8882" w:val="center"/>
          <w:tab w:leader="none" w:pos="10066" w:val="right"/>
        </w:tabs>
        <w:widowControl w:val="0"/>
        <w:keepNext w:val="0"/>
        <w:keepLines w:val="0"/>
        <w:shd w:val="clear" w:color="auto" w:fill="auto"/>
        <w:bidi w:val="0"/>
        <w:jc w:val="both"/>
        <w:spacing w:before="0" w:after="0" w:line="269" w:lineRule="exact"/>
        <w:ind w:left="560" w:right="0" w:firstLine="700"/>
      </w:pPr>
      <w:r>
        <w:rPr>
          <w:lang w:val="ru-RU" w:eastAsia="ru-RU" w:bidi="ru-RU"/>
          <w:w w:val="100"/>
          <w:spacing w:val="0"/>
          <w:color w:val="000000"/>
          <w:position w:val="0"/>
        </w:rPr>
        <w:t>на основании пункта 1 части 15 статьи 99, статьи 106 Федерального</w:t>
        <w:tab/>
        <w:t>закона</w:t>
        <w:tab/>
        <w:t>от 05</w:t>
      </w:r>
    </w:p>
    <w:p>
      <w:pPr>
        <w:pStyle w:val="Style10"/>
        <w:widowControl w:val="0"/>
        <w:keepNext w:val="0"/>
        <w:keepLines w:val="0"/>
        <w:shd w:val="clear" w:color="auto" w:fill="auto"/>
        <w:bidi w:val="0"/>
        <w:jc w:val="both"/>
        <w:spacing w:before="0" w:after="0" w:line="269" w:lineRule="exact"/>
        <w:ind w:left="560" w:right="580" w:firstLine="0"/>
      </w:pPr>
      <w:r>
        <w:rPr>
          <w:lang w:val="ru-RU" w:eastAsia="ru-RU" w:bidi="ru-RU"/>
          <w:w w:val="100"/>
          <w:spacing w:val="0"/>
          <w:color w:val="000000"/>
          <w:position w:val="0"/>
        </w:rPr>
        <w:t xml:space="preserve">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r>
        <w:rPr>
          <w:rStyle w:val="CharStyle20"/>
        </w:rPr>
        <w:t>в присутствии представителей от:</w:t>
      </w:r>
    </w:p>
    <w:p>
      <w:pPr>
        <w:pStyle w:val="Style10"/>
        <w:widowControl w:val="0"/>
        <w:keepNext w:val="0"/>
        <w:keepLines w:val="0"/>
        <w:shd w:val="clear" w:color="auto" w:fill="auto"/>
        <w:bidi w:val="0"/>
        <w:jc w:val="both"/>
        <w:spacing w:before="0" w:after="0" w:line="269" w:lineRule="exact"/>
        <w:ind w:left="560" w:right="0" w:firstLine="700"/>
      </w:pPr>
      <w:r>
        <w:rPr>
          <w:rStyle w:val="CharStyle21"/>
        </w:rPr>
        <w:t xml:space="preserve">Заказчика: </w:t>
      </w:r>
      <w:r>
        <w:rPr>
          <w:lang w:val="ru-RU" w:eastAsia="ru-RU" w:bidi="ru-RU"/>
          <w:w w:val="100"/>
          <w:spacing w:val="0"/>
          <w:color w:val="000000"/>
          <w:position w:val="0"/>
        </w:rPr>
        <w:t>Коробка М.А. (доверенность от 13.11.2017 № б/н);</w:t>
      </w:r>
    </w:p>
    <w:p>
      <w:pPr>
        <w:pStyle w:val="Style10"/>
        <w:widowControl w:val="0"/>
        <w:keepNext w:val="0"/>
        <w:keepLines w:val="0"/>
        <w:shd w:val="clear" w:color="auto" w:fill="auto"/>
        <w:bidi w:val="0"/>
        <w:jc w:val="both"/>
        <w:spacing w:before="0" w:after="0" w:line="264" w:lineRule="exact"/>
        <w:ind w:left="560" w:right="580" w:firstLine="700"/>
      </w:pPr>
      <w:r>
        <w:rPr>
          <w:rStyle w:val="CharStyle21"/>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6"/>
        <w:widowControl w:val="0"/>
        <w:keepNext w:val="0"/>
        <w:keepLines w:val="0"/>
        <w:shd w:val="clear" w:color="auto" w:fill="auto"/>
        <w:bidi w:val="0"/>
        <w:jc w:val="left"/>
        <w:spacing w:before="0" w:after="0" w:line="269" w:lineRule="exact"/>
        <w:ind w:left="4740" w:right="0" w:firstLine="0"/>
      </w:pPr>
      <w:r>
        <w:rPr>
          <w:lang w:val="ru-RU" w:eastAsia="ru-RU" w:bidi="ru-RU"/>
          <w:w w:val="100"/>
          <w:spacing w:val="0"/>
          <w:color w:val="000000"/>
          <w:position w:val="0"/>
        </w:rPr>
        <w:t>УСТАНОВИЛА:</w:t>
      </w:r>
    </w:p>
    <w:p>
      <w:pPr>
        <w:pStyle w:val="Style10"/>
        <w:tabs>
          <w:tab w:leader="none" w:pos="3619" w:val="right"/>
          <w:tab w:leader="none" w:pos="3801" w:val="left"/>
        </w:tabs>
        <w:widowControl w:val="0"/>
        <w:keepNext w:val="0"/>
        <w:keepLines w:val="0"/>
        <w:shd w:val="clear" w:color="auto" w:fill="auto"/>
        <w:bidi w:val="0"/>
        <w:jc w:val="left"/>
        <w:spacing w:before="0" w:after="0" w:line="269" w:lineRule="exact"/>
        <w:ind w:left="0" w:right="300" w:firstLine="1260"/>
      </w:pPr>
      <w:r>
        <w:rPr>
          <w:lang w:val="ru-RU" w:eastAsia="ru-RU" w:bidi="ru-RU"/>
          <w:w w:val="100"/>
          <w:spacing w:val="0"/>
          <w:color w:val="000000"/>
          <w:position w:val="0"/>
        </w:rPr>
        <w:t xml:space="preserve">07 ноября 2017 года в Архангельское УФАС России </w:t>
      </w:r>
      <w:r>
        <w:rPr>
          <w:rStyle w:val="CharStyle17"/>
        </w:rPr>
        <w:t xml:space="preserve">— </w:t>
      </w:r>
      <w:r>
        <w:rPr>
          <w:lang w:val="ru-RU" w:eastAsia="ru-RU" w:bidi="ru-RU"/>
          <w:w w:val="100"/>
          <w:spacing w:val="0"/>
          <w:color w:val="000000"/>
          <w:position w:val="0"/>
        </w:rPr>
        <w:t xml:space="preserve">уполномоченный федеральный орган исполнительной власти, осуществляющий контроль в сфере закупок, поступила жалоба ООО "Профит-плюс" (далее - Заявитель) на действия заказчика - Управления строительства, архитектуры и жилищно-коммунального хозяйства администрация </w:t>
      </w:r>
      <w:r>
        <w:rPr>
          <w:rStyle w:val="CharStyle17"/>
        </w:rPr>
        <w:t>,,ипп</w:t>
        <w:tab/>
      </w:r>
      <w:r>
        <w:rPr>
          <w:lang w:val="en-US" w:eastAsia="en-US" w:bidi="en-US"/>
          <w:w w:val="100"/>
          <w:spacing w:val="0"/>
          <w:color w:val="000000"/>
          <w:position w:val="0"/>
        </w:rPr>
        <w:t>gofcps™,</w:t>
        <w:tab/>
      </w:r>
      <w:r>
        <w:rPr>
          <w:lang w:val="ru-RU" w:eastAsia="ru-RU" w:bidi="ru-RU"/>
          <w:w w:val="100"/>
          <w:spacing w:val="0"/>
          <w:color w:val="000000"/>
          <w:position w:val="0"/>
        </w:rPr>
        <w:t xml:space="preserve">Лдомский муниципальный район» (далее - Заказчик) Ър </w:t>
      </w:r>
      <w:r>
        <w:rPr>
          <w:rStyle w:val="CharStyle22"/>
        </w:rPr>
        <w:t>1</w:t>
      </w:r>
      <w:r>
        <w:br w:type="page"/>
      </w:r>
    </w:p>
    <w:p>
      <w:pPr>
        <w:pStyle w:val="Style10"/>
        <w:widowControl w:val="0"/>
        <w:keepNext w:val="0"/>
        <w:keepLines w:val="0"/>
        <w:shd w:val="clear" w:color="auto" w:fill="auto"/>
        <w:bidi w:val="0"/>
        <w:jc w:val="both"/>
        <w:spacing w:before="0" w:after="91" w:line="269" w:lineRule="exact"/>
        <w:ind w:left="20" w:right="40" w:firstLine="0"/>
      </w:pPr>
      <w:r>
        <w:rPr>
          <w:lang w:val="ru-RU" w:eastAsia="ru-RU" w:bidi="ru-RU"/>
          <w:w w:val="100"/>
          <w:spacing w:val="0"/>
          <w:color w:val="000000"/>
          <w:position w:val="0"/>
        </w:rPr>
        <w:t>проведении электронного аукциона на право заключения муниципального контракта на выполнение работ по содержанию улиц, площадей, внутрихозяйственных дорог и объектов регулирования дорожного движения МО «Няндомское» (извещение №0124300031517000033).</w:t>
      </w:r>
    </w:p>
    <w:p>
      <w:pPr>
        <w:pStyle w:val="Style6"/>
        <w:widowControl w:val="0"/>
        <w:keepNext w:val="0"/>
        <w:keepLines w:val="0"/>
        <w:shd w:val="clear" w:color="auto" w:fill="auto"/>
        <w:bidi w:val="0"/>
        <w:jc w:val="both"/>
        <w:spacing w:before="0" w:after="0" w:line="230" w:lineRule="exact"/>
        <w:ind w:left="20" w:right="0" w:firstLine="720"/>
      </w:pPr>
      <w:r>
        <w:rPr>
          <w:rStyle w:val="CharStyle19"/>
          <w:b/>
          <w:bCs/>
        </w:rPr>
        <w:t>Содержание жалобы:</w:t>
      </w:r>
    </w:p>
    <w:p>
      <w:pPr>
        <w:pStyle w:val="Style10"/>
        <w:widowControl w:val="0"/>
        <w:keepNext w:val="0"/>
        <w:keepLines w:val="0"/>
        <w:shd w:val="clear" w:color="auto" w:fill="auto"/>
        <w:bidi w:val="0"/>
        <w:jc w:val="both"/>
        <w:spacing w:before="0" w:after="64" w:line="269" w:lineRule="exact"/>
        <w:ind w:left="20" w:right="40" w:firstLine="720"/>
      </w:pPr>
      <w:r>
        <w:rPr>
          <w:lang w:val="ru-RU" w:eastAsia="ru-RU" w:bidi="ru-RU"/>
          <w:w w:val="100"/>
          <w:spacing w:val="0"/>
          <w:color w:val="000000"/>
          <w:position w:val="0"/>
        </w:rPr>
        <w:t>Заявитель обжалует действия Заказчика в связи с утверждением документации об аукционе несоответствующей ФЗ «О контрактной системе».</w:t>
      </w:r>
    </w:p>
    <w:p>
      <w:pPr>
        <w:pStyle w:val="Style10"/>
        <w:widowControl w:val="0"/>
        <w:keepNext w:val="0"/>
        <w:keepLines w:val="0"/>
        <w:shd w:val="clear" w:color="auto" w:fill="auto"/>
        <w:bidi w:val="0"/>
        <w:jc w:val="both"/>
        <w:spacing w:before="0" w:after="56" w:line="264" w:lineRule="exact"/>
        <w:ind w:left="20" w:right="40" w:firstLine="72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10.11.2017 № 2318.</w:t>
      </w:r>
    </w:p>
    <w:p>
      <w:pPr>
        <w:pStyle w:val="Style6"/>
        <w:widowControl w:val="0"/>
        <w:keepNext w:val="0"/>
        <w:keepLines w:val="0"/>
        <w:shd w:val="clear" w:color="auto" w:fill="auto"/>
        <w:bidi w:val="0"/>
        <w:jc w:val="both"/>
        <w:spacing w:before="0" w:after="56" w:line="269" w:lineRule="exact"/>
        <w:ind w:left="20" w:right="4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23.10.2017 Заказчиком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№0124300031517000033 о проведении электронного аукциона и документация об электронном аукционе на право заключения муниципального контракта на выполнение работ по содержанию улиц, площадей, внутрихозяйственных дорог и объектов регулирования дорожного движения МО «Няндомское» (далее - документация об аукционе).</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Начальная (максимальная) цена муниципального контракта - 34 000 000,00 рублей.</w:t>
      </w:r>
    </w:p>
    <w:p>
      <w:pPr>
        <w:pStyle w:val="Style10"/>
        <w:widowControl w:val="0"/>
        <w:keepNext w:val="0"/>
        <w:keepLines w:val="0"/>
        <w:shd w:val="clear" w:color="auto" w:fill="auto"/>
        <w:bidi w:val="0"/>
        <w:jc w:val="both"/>
        <w:spacing w:before="0" w:after="64" w:line="274" w:lineRule="exact"/>
        <w:ind w:left="20" w:right="0" w:firstLine="720"/>
      </w:pPr>
      <w:r>
        <w:rPr>
          <w:lang w:val="ru-RU" w:eastAsia="ru-RU" w:bidi="ru-RU"/>
          <w:w w:val="100"/>
          <w:spacing w:val="0"/>
          <w:color w:val="000000"/>
          <w:position w:val="0"/>
        </w:rPr>
        <w:t>Оператор электронной площадки - АО «Единая электронная торговая площадка».</w:t>
      </w:r>
    </w:p>
    <w:p>
      <w:pPr>
        <w:pStyle w:val="Style23"/>
        <w:widowControl w:val="0"/>
        <w:keepNext w:val="0"/>
        <w:keepLines w:val="0"/>
        <w:shd w:val="clear" w:color="auto" w:fill="auto"/>
        <w:bidi w:val="0"/>
        <w:spacing w:before="0" w:after="56"/>
        <w:ind w:left="20" w:right="40"/>
      </w:pPr>
      <w:r>
        <w:rPr>
          <w:lang w:val="ru-RU" w:eastAsia="ru-RU" w:bidi="ru-RU"/>
          <w:w w:val="100"/>
          <w:spacing w:val="0"/>
          <w:color w:val="000000"/>
          <w:position w:val="0"/>
        </w:rPr>
        <w:t>По мнению Заявителя, Заказчик подготовил документацию об аукционе с нарушением части 3 статьи 33 ФЗ «О контрактной системе». Так документация об аукционе содержит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приводят к ограничению количества участников закупки, ограничивают возможность участников закупки предоставить надлежащее предложение в составе заявок на участие в аукционе, например по материалу (товару) смесь асфальтобетонная.</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пунктом 1 части 1 статьи 64 ФЗ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ФЗ «О контрактной системе».</w:t>
      </w:r>
    </w:p>
    <w:p>
      <w:pPr>
        <w:pStyle w:val="Style10"/>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пункту 1 части 1 статьи 33 ФЗ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0"/>
        <w:widowControl w:val="0"/>
        <w:keepNext w:val="0"/>
        <w:keepLines w:val="0"/>
        <w:shd w:val="clear" w:color="auto" w:fill="auto"/>
        <w:bidi w:val="0"/>
        <w:jc w:val="both"/>
        <w:spacing w:before="0" w:after="0" w:line="274" w:lineRule="exact"/>
        <w:ind w:left="20" w:right="40" w:firstLine="720"/>
        <w:sectPr>
          <w:type w:val="continuous"/>
          <w:pgSz w:w="11906" w:h="16838"/>
          <w:pgMar w:top="1017" w:left="661" w:right="584" w:bottom="739" w:header="0" w:footer="3" w:gutter="0"/>
          <w:rtlGutter w:val="0"/>
          <w:cols w:space="720"/>
          <w:noEndnote/>
          <w:docGrid w:linePitch="360"/>
        </w:sectPr>
      </w:pPr>
      <w:r>
        <w:rPr>
          <w:lang w:val="ru-RU" w:eastAsia="ru-RU" w:bidi="ru-RU"/>
          <w:w w:val="100"/>
          <w:spacing w:val="0"/>
          <w:color w:val="000000"/>
          <w:position w:val="0"/>
        </w:rPr>
        <w:t>Пунктом 2 части 1 статьи 33 ФЗ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5"/>
        <w:framePr w:w="9946"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Часть 1.4 «Технического задания» раздела II «Сведения о товаре, на поставку которого осуществляется закупка, и об условиях контракта» документации об аукционе содержит таблицу «Требования к материалам и изделиям (товарам), применяемым при выполнении работ», в которой установлены, в том числе, следующие требования к товару:</w:t>
      </w:r>
    </w:p>
    <w:tbl>
      <w:tblPr>
        <w:tblOverlap w:val="never"/>
        <w:tblLayout w:type="fixed"/>
        <w:jc w:val="center"/>
      </w:tblPr>
      <w:tblGrid>
        <w:gridCol w:w="581"/>
        <w:gridCol w:w="2112"/>
        <w:gridCol w:w="7253"/>
      </w:tblGrid>
      <w:tr>
        <w:trPr>
          <w:trHeight w:val="941" w:hRule="exact"/>
        </w:trPr>
        <w:tc>
          <w:tcPr>
            <w:shd w:val="clear" w:color="auto" w:fill="FFFFFF"/>
            <w:tcBorders>
              <w:left w:val="single" w:sz="4"/>
              <w:top w:val="single" w:sz="4"/>
            </w:tcBorders>
            <w:vAlign w:val="center"/>
          </w:tcPr>
          <w:p>
            <w:pPr>
              <w:pStyle w:val="Style10"/>
              <w:framePr w:w="9946" w:wrap="notBeside" w:vAnchor="text" w:hAnchor="text" w:xAlign="center" w:y="1"/>
              <w:widowControl w:val="0"/>
              <w:keepNext w:val="0"/>
              <w:keepLines w:val="0"/>
              <w:shd w:val="clear" w:color="auto" w:fill="auto"/>
              <w:bidi w:val="0"/>
              <w:jc w:val="left"/>
              <w:spacing w:before="0" w:after="60" w:line="230" w:lineRule="exact"/>
              <w:ind w:left="200" w:right="0" w:firstLine="0"/>
            </w:pPr>
            <w:r>
              <w:rPr>
                <w:rStyle w:val="CharStyle27"/>
              </w:rPr>
              <w:t>№</w:t>
            </w:r>
          </w:p>
          <w:p>
            <w:pPr>
              <w:pStyle w:val="Style10"/>
              <w:framePr w:w="9946" w:wrap="notBeside" w:vAnchor="text" w:hAnchor="text" w:xAlign="center" w:y="1"/>
              <w:widowControl w:val="0"/>
              <w:keepNext w:val="0"/>
              <w:keepLines w:val="0"/>
              <w:shd w:val="clear" w:color="auto" w:fill="auto"/>
              <w:bidi w:val="0"/>
              <w:jc w:val="left"/>
              <w:spacing w:before="60" w:after="0" w:line="200" w:lineRule="exact"/>
              <w:ind w:left="200" w:right="0" w:firstLine="0"/>
            </w:pPr>
            <w:r>
              <w:rPr>
                <w:rStyle w:val="CharStyle28"/>
              </w:rPr>
              <w:t>п/п</w:t>
            </w:r>
          </w:p>
        </w:tc>
        <w:tc>
          <w:tcPr>
            <w:shd w:val="clear" w:color="auto" w:fill="FFFFFF"/>
            <w:tcBorders>
              <w:left w:val="single" w:sz="4"/>
              <w:top w:val="single" w:sz="4"/>
            </w:tcBorders>
            <w:vAlign w:val="bottom"/>
          </w:tcPr>
          <w:p>
            <w:pPr>
              <w:pStyle w:val="Style10"/>
              <w:framePr w:w="994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8"/>
              </w:rPr>
              <w:t>Наименование основных материалов и изделий (товаров)</w:t>
            </w:r>
          </w:p>
        </w:tc>
        <w:tc>
          <w:tcPr>
            <w:shd w:val="clear" w:color="auto" w:fill="FFFFFF"/>
            <w:tcBorders>
              <w:left w:val="single" w:sz="4"/>
              <w:right w:val="single" w:sz="4"/>
              <w:top w:val="single" w:sz="4"/>
            </w:tcBorders>
            <w:vAlign w:val="center"/>
          </w:tcPr>
          <w:p>
            <w:pPr>
              <w:pStyle w:val="Style10"/>
              <w:framePr w:w="9946"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28"/>
              </w:rPr>
              <w:t>Технические характеристики и свойства применяемых материалов и</w:t>
            </w:r>
          </w:p>
          <w:p>
            <w:pPr>
              <w:pStyle w:val="Style10"/>
              <w:framePr w:w="9946"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28"/>
              </w:rPr>
              <w:t>изделий (товаров)</w:t>
            </w:r>
          </w:p>
        </w:tc>
      </w:tr>
      <w:tr>
        <w:trPr>
          <w:trHeight w:val="7690" w:hRule="exact"/>
        </w:trPr>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27"/>
              </w:rPr>
              <w:t>1</w:t>
            </w:r>
          </w:p>
        </w:tc>
        <w:tc>
          <w:tcPr>
            <w:shd w:val="clear" w:color="auto" w:fill="FFFFFF"/>
            <w:tcBorders>
              <w:left w:val="single" w:sz="4"/>
              <w:top w:val="single" w:sz="4"/>
            </w:tcBorders>
            <w:vAlign w:val="center"/>
          </w:tcPr>
          <w:p>
            <w:pPr>
              <w:pStyle w:val="Style10"/>
              <w:framePr w:w="9946" w:wrap="notBeside" w:vAnchor="text" w:hAnchor="text" w:xAlign="center" w:y="1"/>
              <w:widowControl w:val="0"/>
              <w:keepNext w:val="0"/>
              <w:keepLines w:val="0"/>
              <w:shd w:val="clear" w:color="auto" w:fill="auto"/>
              <w:bidi w:val="0"/>
              <w:jc w:val="center"/>
              <w:spacing w:before="0" w:after="60" w:line="230" w:lineRule="exact"/>
              <w:ind w:left="0" w:right="0" w:firstLine="0"/>
            </w:pPr>
            <w:r>
              <w:rPr>
                <w:rStyle w:val="CharStyle27"/>
              </w:rPr>
              <w:t>Смесь</w:t>
            </w:r>
          </w:p>
          <w:p>
            <w:pPr>
              <w:pStyle w:val="Style10"/>
              <w:framePr w:w="9946" w:wrap="notBeside" w:vAnchor="text" w:hAnchor="text" w:xAlign="center" w:y="1"/>
              <w:widowControl w:val="0"/>
              <w:keepNext w:val="0"/>
              <w:keepLines w:val="0"/>
              <w:shd w:val="clear" w:color="auto" w:fill="auto"/>
              <w:bidi w:val="0"/>
              <w:jc w:val="center"/>
              <w:spacing w:before="60" w:after="0" w:line="230" w:lineRule="exact"/>
              <w:ind w:left="0" w:right="0" w:firstLine="0"/>
            </w:pPr>
            <w:r>
              <w:rPr>
                <w:rStyle w:val="CharStyle27"/>
              </w:rPr>
              <w:t>асфальтобетонная</w:t>
            </w:r>
          </w:p>
        </w:tc>
        <w:tc>
          <w:tcPr>
            <w:shd w:val="clear" w:color="auto" w:fill="FFFFFF"/>
            <w:tcBorders>
              <w:left w:val="single" w:sz="4"/>
              <w:right w:val="single" w:sz="4"/>
              <w:top w:val="single" w:sz="4"/>
            </w:tcBorders>
            <w:vAlign w:val="bottom"/>
          </w:tcPr>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ГОСТ 9128-2013</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Асфальтобетонная смесь плотная тип Б марка II</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Наибольший размер зерен мелкозернистой асфальтобетонной смеси должен быть до 20 мм*.</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Остаточная пористость асфальтобетонной смеси плотной должна быть свыше 2.5 %* до 5.0 %*.</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Предел прочности при сжатии при температуре 50°С не менее 1.0 МПа*.</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Предел прочности при сжатии при температуре 20°С не менее 2.2 МПа*.</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Предел прочности при сжатии при температуре 0°С не более 12.0 МПа*.</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Водостойкость не менее 0.85*.</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Водостойкость при длительном водонасыщении не менее 0.75*. Сдвигоустойчивость по коэффициенту внутреннего трения не менее 0.81*.</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Сдвигоустойчивость по сцеплению при сдвиге при температуре 50°С не менее 0.35 МПа*.</w:t>
            </w:r>
          </w:p>
          <w:p>
            <w:pPr>
              <w:pStyle w:val="Style10"/>
              <w:framePr w:w="9946"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27"/>
              </w:rPr>
              <w:t>Трещиностойкость по пределу прочности на растяжение при расколе при температуреО°С и скорости деформирования 50 мм/мин не менее 3.0 МПа* и не более 6.5 МПа*.</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Значение водонасыщения должно соответствовать:</w:t>
            </w:r>
          </w:p>
          <w:p>
            <w:pPr>
              <w:pStyle w:val="Style10"/>
              <w:numPr>
                <w:ilvl w:val="0"/>
                <w:numId w:val="1"/>
              </w:numPr>
              <w:framePr w:w="9946" w:wrap="notBeside" w:vAnchor="text" w:hAnchor="text" w:xAlign="center" w:y="1"/>
              <w:tabs>
                <w:tab w:leader="none" w:pos="130" w:val="left"/>
              </w:tabs>
              <w:widowControl w:val="0"/>
              <w:keepNext w:val="0"/>
              <w:keepLines w:val="0"/>
              <w:shd w:val="clear" w:color="auto" w:fill="auto"/>
              <w:bidi w:val="0"/>
              <w:jc w:val="both"/>
              <w:spacing w:before="0" w:after="0" w:line="264" w:lineRule="exact"/>
              <w:ind w:left="0" w:right="0" w:firstLine="0"/>
            </w:pPr>
            <w:r>
              <w:rPr>
                <w:rStyle w:val="CharStyle27"/>
              </w:rPr>
              <w:t>для образцов, отформованных из смеси от 1.5 %* до 4.0 %*;</w:t>
            </w:r>
          </w:p>
          <w:p>
            <w:pPr>
              <w:pStyle w:val="Style10"/>
              <w:numPr>
                <w:ilvl w:val="0"/>
                <w:numId w:val="1"/>
              </w:numPr>
              <w:framePr w:w="9946" w:wrap="notBeside" w:vAnchor="text" w:hAnchor="text" w:xAlign="center" w:y="1"/>
              <w:tabs>
                <w:tab w:leader="none" w:pos="250" w:val="left"/>
              </w:tabs>
              <w:widowControl w:val="0"/>
              <w:keepNext w:val="0"/>
              <w:keepLines w:val="0"/>
              <w:shd w:val="clear" w:color="auto" w:fill="auto"/>
              <w:bidi w:val="0"/>
              <w:jc w:val="left"/>
              <w:spacing w:before="0" w:after="0" w:line="293" w:lineRule="exact"/>
              <w:ind w:left="120" w:right="0" w:firstLine="0"/>
            </w:pPr>
            <w:r>
              <w:rPr>
                <w:rStyle w:val="CharStyle27"/>
              </w:rPr>
              <w:t>для образцов из переформованных вырубок и кернов от 1.0 %* до 4.0 %*;</w:t>
            </w:r>
          </w:p>
          <w:p>
            <w:pPr>
              <w:pStyle w:val="Style10"/>
              <w:numPr>
                <w:ilvl w:val="0"/>
                <w:numId w:val="1"/>
              </w:numPr>
              <w:framePr w:w="9946" w:wrap="notBeside" w:vAnchor="text" w:hAnchor="text" w:xAlign="center" w:y="1"/>
              <w:tabs>
                <w:tab w:leader="none" w:pos="130" w:val="left"/>
              </w:tabs>
              <w:widowControl w:val="0"/>
              <w:keepNext w:val="0"/>
              <w:keepLines w:val="0"/>
              <w:shd w:val="clear" w:color="auto" w:fill="auto"/>
              <w:bidi w:val="0"/>
              <w:jc w:val="both"/>
              <w:spacing w:before="0" w:after="0" w:line="264" w:lineRule="exact"/>
              <w:ind w:left="0" w:right="0" w:firstLine="0"/>
            </w:pPr>
            <w:r>
              <w:rPr>
                <w:rStyle w:val="CharStyle27"/>
              </w:rPr>
              <w:t>для вырубок и кернов готового покрытия не более 4.5 %*.</w:t>
            </w:r>
          </w:p>
          <w:p>
            <w:pPr>
              <w:pStyle w:val="Style10"/>
              <w:framePr w:w="9946"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27"/>
              </w:rPr>
              <w:t>Пористость минеральной части должна быть от 14 %* до 19 %*. Асфальтобетонная смесь должна выдерживать испытание на сцепление битума с поверхностью минеральной части.</w:t>
            </w:r>
          </w:p>
        </w:tc>
      </w:tr>
      <w:tr>
        <w:trPr>
          <w:trHeight w:val="509" w:hRule="exact"/>
        </w:trPr>
        <w:tc>
          <w:tcPr>
            <w:shd w:val="clear" w:color="auto" w:fill="FFFFFF"/>
            <w:tcBorders>
              <w:left w:val="single" w:sz="4"/>
              <w:top w:val="single" w:sz="4"/>
            </w:tcBorders>
            <w:vAlign w:val="top"/>
          </w:tcPr>
          <w:p>
            <w:pPr>
              <w:framePr w:w="9946"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0"/>
              <w:framePr w:w="9946"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9"/>
              </w:rPr>
              <w:t>....</w:t>
            </w:r>
          </w:p>
        </w:tc>
        <w:tc>
          <w:tcPr>
            <w:shd w:val="clear" w:color="auto" w:fill="FFFFFF"/>
            <w:tcBorders>
              <w:left w:val="single" w:sz="4"/>
              <w:right w:val="single" w:sz="4"/>
              <w:top w:val="single" w:sz="4"/>
            </w:tcBorders>
            <w:vAlign w:val="top"/>
          </w:tcPr>
          <w:p>
            <w:pPr>
              <w:framePr w:w="9946" w:wrap="notBeside" w:vAnchor="text" w:hAnchor="text" w:xAlign="center" w:y="1"/>
              <w:widowControl w:val="0"/>
              <w:rPr>
                <w:sz w:val="10"/>
                <w:szCs w:val="10"/>
              </w:rPr>
            </w:pPr>
          </w:p>
        </w:tc>
      </w:tr>
      <w:tr>
        <w:trPr>
          <w:trHeight w:val="2362" w:hRule="exact"/>
        </w:trPr>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27"/>
              </w:rPr>
              <w:t>9</w:t>
            </w:r>
          </w:p>
        </w:tc>
        <w:tc>
          <w:tcPr>
            <w:shd w:val="clear" w:color="auto" w:fill="FFFFFF"/>
            <w:tcBorders>
              <w:left w:val="single" w:sz="4"/>
              <w:top w:val="single" w:sz="4"/>
            </w:tcBorders>
            <w:vAlign w:val="center"/>
          </w:tcPr>
          <w:p>
            <w:pPr>
              <w:pStyle w:val="Style10"/>
              <w:framePr w:w="9946"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7"/>
              </w:rPr>
              <w:t>Микросферы стеклянные для дорожной разметки</w:t>
            </w:r>
          </w:p>
        </w:tc>
        <w:tc>
          <w:tcPr>
            <w:shd w:val="clear" w:color="auto" w:fill="FFFFFF"/>
            <w:tcBorders>
              <w:left w:val="single" w:sz="4"/>
              <w:right w:val="single" w:sz="4"/>
              <w:top w:val="single" w:sz="4"/>
            </w:tcBorders>
            <w:vAlign w:val="bottom"/>
          </w:tcPr>
          <w:p>
            <w:pPr>
              <w:pStyle w:val="Style10"/>
              <w:framePr w:w="9946"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27"/>
              </w:rPr>
              <w:t>Для добавления в краску для разметки автомобильных дорог; ГОСТ Р53172-2008</w:t>
            </w:r>
          </w:p>
          <w:p>
            <w:pPr>
              <w:pStyle w:val="Style10"/>
              <w:numPr>
                <w:ilvl w:val="0"/>
                <w:numId w:val="3"/>
              </w:numPr>
              <w:framePr w:w="9946" w:wrap="notBeside" w:vAnchor="text" w:hAnchor="text" w:xAlign="center" w:y="1"/>
              <w:tabs>
                <w:tab w:leader="none" w:pos="134" w:val="left"/>
              </w:tabs>
              <w:widowControl w:val="0"/>
              <w:keepNext w:val="0"/>
              <w:keepLines w:val="0"/>
              <w:shd w:val="clear" w:color="auto" w:fill="auto"/>
              <w:bidi w:val="0"/>
              <w:jc w:val="both"/>
              <w:spacing w:before="0" w:after="0" w:line="259" w:lineRule="exact"/>
              <w:ind w:left="0" w:right="0" w:firstLine="0"/>
            </w:pPr>
            <w:r>
              <w:rPr>
                <w:rStyle w:val="CharStyle27"/>
              </w:rPr>
              <w:t>фракция не менее 125-600 мкм*</w:t>
            </w:r>
          </w:p>
          <w:p>
            <w:pPr>
              <w:pStyle w:val="Style10"/>
              <w:numPr>
                <w:ilvl w:val="0"/>
                <w:numId w:val="3"/>
              </w:numPr>
              <w:framePr w:w="9946" w:wrap="notBeside" w:vAnchor="text" w:hAnchor="text" w:xAlign="center" w:y="1"/>
              <w:tabs>
                <w:tab w:leader="none" w:pos="134" w:val="left"/>
              </w:tabs>
              <w:widowControl w:val="0"/>
              <w:keepNext w:val="0"/>
              <w:keepLines w:val="0"/>
              <w:shd w:val="clear" w:color="auto" w:fill="auto"/>
              <w:bidi w:val="0"/>
              <w:jc w:val="both"/>
              <w:spacing w:before="0" w:after="0" w:line="259" w:lineRule="exact"/>
              <w:ind w:left="0" w:right="0" w:firstLine="0"/>
            </w:pPr>
            <w:r>
              <w:rPr>
                <w:rStyle w:val="CharStyle27"/>
              </w:rPr>
              <w:t>удельный вес 2,5 г/смЗ</w:t>
            </w:r>
          </w:p>
          <w:p>
            <w:pPr>
              <w:pStyle w:val="Style10"/>
              <w:numPr>
                <w:ilvl w:val="0"/>
                <w:numId w:val="3"/>
              </w:numPr>
              <w:framePr w:w="9946" w:wrap="notBeside" w:vAnchor="text" w:hAnchor="text" w:xAlign="center" w:y="1"/>
              <w:tabs>
                <w:tab w:leader="none" w:pos="139" w:val="left"/>
              </w:tabs>
              <w:widowControl w:val="0"/>
              <w:keepNext w:val="0"/>
              <w:keepLines w:val="0"/>
              <w:shd w:val="clear" w:color="auto" w:fill="auto"/>
              <w:bidi w:val="0"/>
              <w:jc w:val="both"/>
              <w:spacing w:before="0" w:after="0" w:line="259" w:lineRule="exact"/>
              <w:ind w:left="0" w:right="0" w:firstLine="0"/>
            </w:pPr>
            <w:r>
              <w:rPr>
                <w:rStyle w:val="CharStyle27"/>
              </w:rPr>
              <w:t>прочность на сжатие не менее 700 МПа*</w:t>
            </w:r>
          </w:p>
          <w:p>
            <w:pPr>
              <w:pStyle w:val="Style10"/>
              <w:numPr>
                <w:ilvl w:val="0"/>
                <w:numId w:val="3"/>
              </w:numPr>
              <w:framePr w:w="9946" w:wrap="notBeside" w:vAnchor="text" w:hAnchor="text" w:xAlign="center" w:y="1"/>
              <w:tabs>
                <w:tab w:leader="none" w:pos="139" w:val="left"/>
              </w:tabs>
              <w:widowControl w:val="0"/>
              <w:keepNext w:val="0"/>
              <w:keepLines w:val="0"/>
              <w:shd w:val="clear" w:color="auto" w:fill="auto"/>
              <w:bidi w:val="0"/>
              <w:jc w:val="both"/>
              <w:spacing w:before="0" w:after="0" w:line="259" w:lineRule="exact"/>
              <w:ind w:left="0" w:right="0" w:firstLine="0"/>
            </w:pPr>
            <w:r>
              <w:rPr>
                <w:rStyle w:val="CharStyle27"/>
              </w:rPr>
              <w:t>Содержание сферичных частиц более 80%*</w:t>
            </w:r>
          </w:p>
          <w:p>
            <w:pPr>
              <w:pStyle w:val="Style10"/>
              <w:numPr>
                <w:ilvl w:val="0"/>
                <w:numId w:val="3"/>
              </w:numPr>
              <w:framePr w:w="9946" w:wrap="notBeside" w:vAnchor="text" w:hAnchor="text" w:xAlign="center" w:y="1"/>
              <w:tabs>
                <w:tab w:leader="none" w:pos="125" w:val="left"/>
              </w:tabs>
              <w:widowControl w:val="0"/>
              <w:keepNext w:val="0"/>
              <w:keepLines w:val="0"/>
              <w:shd w:val="clear" w:color="auto" w:fill="auto"/>
              <w:bidi w:val="0"/>
              <w:jc w:val="both"/>
              <w:spacing w:before="0" w:after="0" w:line="259" w:lineRule="exact"/>
              <w:ind w:left="0" w:right="0" w:firstLine="0"/>
            </w:pPr>
            <w:r>
              <w:rPr>
                <w:rStyle w:val="CharStyle27"/>
              </w:rPr>
              <w:t>технологические остатки (примеси) не более 1 %*</w:t>
            </w:r>
          </w:p>
          <w:p>
            <w:pPr>
              <w:pStyle w:val="Style10"/>
              <w:numPr>
                <w:ilvl w:val="0"/>
                <w:numId w:val="3"/>
              </w:numPr>
              <w:framePr w:w="9946" w:wrap="notBeside" w:vAnchor="text" w:hAnchor="text" w:xAlign="center" w:y="1"/>
              <w:tabs>
                <w:tab w:leader="none" w:pos="125" w:val="left"/>
              </w:tabs>
              <w:widowControl w:val="0"/>
              <w:keepNext w:val="0"/>
              <w:keepLines w:val="0"/>
              <w:shd w:val="clear" w:color="auto" w:fill="auto"/>
              <w:bidi w:val="0"/>
              <w:jc w:val="both"/>
              <w:spacing w:before="0" w:after="0" w:line="259" w:lineRule="exact"/>
              <w:ind w:left="0" w:right="0" w:firstLine="0"/>
            </w:pPr>
            <w:r>
              <w:rPr>
                <w:rStyle w:val="CharStyle27"/>
              </w:rPr>
              <w:t>температура деформации более 500 °С*</w:t>
            </w:r>
          </w:p>
          <w:p>
            <w:pPr>
              <w:pStyle w:val="Style10"/>
              <w:numPr>
                <w:ilvl w:val="0"/>
                <w:numId w:val="3"/>
              </w:numPr>
              <w:framePr w:w="9946" w:wrap="notBeside" w:vAnchor="text" w:hAnchor="text" w:xAlign="center" w:y="1"/>
              <w:tabs>
                <w:tab w:leader="none" w:pos="139" w:val="left"/>
              </w:tabs>
              <w:widowControl w:val="0"/>
              <w:keepNext w:val="0"/>
              <w:keepLines w:val="0"/>
              <w:shd w:val="clear" w:color="auto" w:fill="auto"/>
              <w:bidi w:val="0"/>
              <w:jc w:val="both"/>
              <w:spacing w:before="0" w:after="0" w:line="259" w:lineRule="exact"/>
              <w:ind w:left="0" w:right="0" w:firstLine="0"/>
            </w:pPr>
            <w:r>
              <w:rPr>
                <w:rStyle w:val="CharStyle27"/>
              </w:rPr>
              <w:t>показатель преломления не менее 1,5*</w:t>
            </w:r>
          </w:p>
        </w:tc>
      </w:tr>
      <w:tr>
        <w:trPr>
          <w:trHeight w:val="1042" w:hRule="exact"/>
        </w:trPr>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7"/>
              </w:rPr>
              <w:t>10</w:t>
            </w:r>
          </w:p>
        </w:tc>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7"/>
              </w:rPr>
              <w:t>Бортовой камень БР 100.30.15</w:t>
            </w:r>
          </w:p>
        </w:tc>
        <w:tc>
          <w:tcPr>
            <w:shd w:val="clear" w:color="auto" w:fill="FFFFFF"/>
            <w:tcBorders>
              <w:left w:val="single" w:sz="4"/>
              <w:right w:val="single" w:sz="4"/>
              <w:top w:val="single" w:sz="4"/>
            </w:tcBorders>
            <w:vAlign w:val="bottom"/>
          </w:tcPr>
          <w:p>
            <w:pPr>
              <w:pStyle w:val="Style10"/>
              <w:framePr w:w="9946"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7"/>
              </w:rPr>
              <w:t>ГОСТ 6665-91</w:t>
            </w:r>
          </w:p>
          <w:p>
            <w:pPr>
              <w:pStyle w:val="Style10"/>
              <w:framePr w:w="9946"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7"/>
              </w:rPr>
              <w:t>Класс бетона по прочности на сжатии не менее В 30</w:t>
            </w:r>
          </w:p>
          <w:p>
            <w:pPr>
              <w:pStyle w:val="Style10"/>
              <w:framePr w:w="9946"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7"/>
              </w:rPr>
              <w:t>Класс бетона по прочности на растяжении при изгибе не менее чем В</w:t>
            </w:r>
          </w:p>
          <w:p>
            <w:pPr>
              <w:pStyle w:val="Style10"/>
              <w:framePr w:w="9946"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7"/>
              </w:rPr>
              <w:t>4</w:t>
            </w:r>
          </w:p>
        </w:tc>
      </w:tr>
      <w:tr>
        <w:trPr>
          <w:trHeight w:val="1046" w:hRule="exact"/>
        </w:trPr>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7"/>
              </w:rPr>
              <w:t>11</w:t>
            </w:r>
          </w:p>
        </w:tc>
        <w:tc>
          <w:tcPr>
            <w:shd w:val="clear" w:color="auto" w:fill="FFFFFF"/>
            <w:tcBorders>
              <w:left w:val="single" w:sz="4"/>
              <w:top w:val="single" w:sz="4"/>
            </w:tcBorders>
            <w:vAlign w:val="top"/>
          </w:tcPr>
          <w:p>
            <w:pPr>
              <w:pStyle w:val="Style10"/>
              <w:framePr w:w="9946"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7"/>
              </w:rPr>
              <w:t>Бортовой камень БР 100.20.8</w:t>
            </w:r>
          </w:p>
        </w:tc>
        <w:tc>
          <w:tcPr>
            <w:shd w:val="clear" w:color="auto" w:fill="FFFFFF"/>
            <w:tcBorders>
              <w:left w:val="single" w:sz="4"/>
              <w:right w:val="single" w:sz="4"/>
              <w:top w:val="single" w:sz="4"/>
            </w:tcBorders>
            <w:vAlign w:val="bottom"/>
          </w:tcPr>
          <w:p>
            <w:pPr>
              <w:pStyle w:val="Style10"/>
              <w:framePr w:w="9946"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7"/>
              </w:rPr>
              <w:t>ГОСТ 6665-91</w:t>
            </w:r>
          </w:p>
          <w:p>
            <w:pPr>
              <w:pStyle w:val="Style10"/>
              <w:framePr w:w="9946"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7"/>
              </w:rPr>
              <w:t>Класс бетона по прочности на сжатии не менее В 22,5</w:t>
            </w:r>
          </w:p>
          <w:p>
            <w:pPr>
              <w:pStyle w:val="Style10"/>
              <w:framePr w:w="9946"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7"/>
              </w:rPr>
              <w:t>Класс бетона по прочности на растяжении при изгибе не менее чем В</w:t>
            </w:r>
          </w:p>
          <w:p>
            <w:pPr>
              <w:pStyle w:val="Style10"/>
              <w:framePr w:w="9946"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7"/>
              </w:rPr>
              <w:t>3,2</w:t>
            </w:r>
          </w:p>
        </w:tc>
      </w:tr>
      <w:tr>
        <w:trPr>
          <w:trHeight w:val="413" w:hRule="exact"/>
        </w:trPr>
        <w:tc>
          <w:tcPr>
            <w:shd w:val="clear" w:color="auto" w:fill="FFFFFF"/>
            <w:tcBorders>
              <w:left w:val="single" w:sz="4"/>
              <w:top w:val="single" w:sz="4"/>
              <w:bottom w:val="single" w:sz="4"/>
            </w:tcBorders>
            <w:vAlign w:val="top"/>
          </w:tcPr>
          <w:p>
            <w:pPr>
              <w:framePr w:w="9946"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0"/>
              <w:framePr w:w="9946"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9"/>
              </w:rPr>
              <w:t>...</w:t>
            </w:r>
          </w:p>
        </w:tc>
        <w:tc>
          <w:tcPr>
            <w:shd w:val="clear" w:color="auto" w:fill="FFFFFF"/>
            <w:tcBorders>
              <w:left w:val="single" w:sz="4"/>
              <w:right w:val="single" w:sz="4"/>
              <w:top w:val="single" w:sz="4"/>
              <w:bottom w:val="single" w:sz="4"/>
            </w:tcBorders>
            <w:vAlign w:val="top"/>
          </w:tcPr>
          <w:p>
            <w:pPr>
              <w:framePr w:w="9946" w:wrap="notBeside" w:vAnchor="text" w:hAnchor="text" w:xAlign="center" w:y="1"/>
              <w:widowControl w:val="0"/>
              <w:rPr>
                <w:sz w:val="10"/>
                <w:szCs w:val="10"/>
              </w:rPr>
            </w:pPr>
          </w:p>
        </w:tc>
      </w:tr>
    </w:tbl>
    <w:p>
      <w:pPr>
        <w:widowControl w:val="0"/>
        <w:rPr>
          <w:sz w:val="2"/>
          <w:szCs w:val="2"/>
        </w:rPr>
      </w:pPr>
    </w:p>
    <w:p>
      <w:pPr>
        <w:pStyle w:val="Style10"/>
        <w:widowControl w:val="0"/>
        <w:keepNext w:val="0"/>
        <w:keepLines w:val="0"/>
        <w:shd w:val="clear" w:color="auto" w:fill="auto"/>
        <w:bidi w:val="0"/>
        <w:jc w:val="both"/>
        <w:spacing w:before="0" w:after="0" w:line="269" w:lineRule="exact"/>
        <w:ind w:left="40" w:right="200" w:firstLine="720"/>
      </w:pPr>
      <w:r>
        <w:rPr>
          <w:lang w:val="ru-RU" w:eastAsia="ru-RU" w:bidi="ru-RU"/>
          <w:w w:val="100"/>
          <w:spacing w:val="0"/>
          <w:color w:val="000000"/>
          <w:position w:val="0"/>
        </w:rPr>
        <w:t>Кроме того, в части 1.4 «Технического задания» раздела II «Сведения о товаре, на поставку которого осуществляется закупка, и об условиях контракта» документации об аукционе указано, что при заполнении участником закупки заявки на участие в аукционе в электронной форме необходимо учитывать следующее:</w:t>
      </w:r>
    </w:p>
    <w:p>
      <w:pPr>
        <w:pStyle w:val="Style10"/>
        <w:numPr>
          <w:ilvl w:val="0"/>
          <w:numId w:val="5"/>
        </w:numPr>
        <w:widowControl w:val="0"/>
        <w:keepNext w:val="0"/>
        <w:keepLines w:val="0"/>
        <w:shd w:val="clear" w:color="auto" w:fill="auto"/>
        <w:bidi w:val="0"/>
        <w:jc w:val="both"/>
        <w:spacing w:before="0" w:after="0" w:line="269" w:lineRule="exact"/>
        <w:ind w:left="40" w:right="200" w:firstLine="720"/>
      </w:pPr>
      <w:r>
        <w:rPr>
          <w:lang w:val="ru-RU" w:eastAsia="ru-RU" w:bidi="ru-RU"/>
          <w:w w:val="100"/>
          <w:spacing w:val="0"/>
          <w:color w:val="000000"/>
          <w:position w:val="0"/>
        </w:rPr>
        <w:t xml:space="preserve"> числовые значения, отмеченные знаком «*» и описанные заказчиком диапазоном, допускается указывать в заявке диапазоном (такие значения будут конкретными);</w:t>
      </w:r>
    </w:p>
    <w:p>
      <w:pPr>
        <w:pStyle w:val="Style10"/>
        <w:numPr>
          <w:ilvl w:val="0"/>
          <w:numId w:val="5"/>
        </w:numPr>
        <w:widowControl w:val="0"/>
        <w:keepNext w:val="0"/>
        <w:keepLines w:val="0"/>
        <w:shd w:val="clear" w:color="auto" w:fill="auto"/>
        <w:bidi w:val="0"/>
        <w:jc w:val="both"/>
        <w:spacing w:before="0" w:after="0" w:line="269" w:lineRule="exact"/>
        <w:ind w:left="40" w:right="200" w:firstLine="720"/>
      </w:pPr>
      <w:r>
        <w:rPr>
          <w:lang w:val="ru-RU" w:eastAsia="ru-RU" w:bidi="ru-RU"/>
          <w:w w:val="100"/>
          <w:spacing w:val="0"/>
          <w:color w:val="000000"/>
          <w:position w:val="0"/>
        </w:rPr>
        <w:t xml:space="preserve"> числовые значения, отмеченные знаком «*» и описанные заказчиком с использованием слов (сочетаний слов) «не более», «более», «не менее», «менее», «не ниже», «ниже», «не выше», «выше», «до», «от», «не свыше», «свыше», «не превышать», «превышать» и их производных однокоренных слов, допускается указывать с использованием соответствующих слов (сочетаниями слов) «не более», «более», «не менее», «менее», «не ниже», «ниже», «не выше», «выше», «до», «от», «не свыше», «свыше», «не превышает», «превышает» (в данном случае такие значения будут конкретными).</w:t>
      </w:r>
    </w:p>
    <w:p>
      <w:pPr>
        <w:pStyle w:val="Style10"/>
        <w:widowControl w:val="0"/>
        <w:keepNext w:val="0"/>
        <w:keepLines w:val="0"/>
        <w:shd w:val="clear" w:color="auto" w:fill="auto"/>
        <w:bidi w:val="0"/>
        <w:jc w:val="both"/>
        <w:spacing w:before="0" w:after="66" w:line="269" w:lineRule="exact"/>
        <w:ind w:left="40" w:right="200" w:firstLine="720"/>
      </w:pPr>
      <w:r>
        <w:rPr>
          <w:lang w:val="ru-RU" w:eastAsia="ru-RU" w:bidi="ru-RU"/>
          <w:w w:val="100"/>
          <w:spacing w:val="0"/>
          <w:color w:val="000000"/>
          <w:position w:val="0"/>
        </w:rPr>
        <w:t>Пунктом 4.1.9 части 4 «Технические требования» ГОСТ 9128-2013 установлено, что показатели физико-механических свойств высокоплотных и плотных асфальтобетонов из горячих смесей различных марок, применяемых в конкретных дорожно-климатических зонах, должны соответствовать указанным в таблице:</w:t>
      </w:r>
    </w:p>
    <w:tbl>
      <w:tblPr>
        <w:tblOverlap w:val="never"/>
        <w:tblLayout w:type="fixed"/>
        <w:jc w:val="center"/>
      </w:tblPr>
      <w:tblGrid>
        <w:gridCol w:w="3874"/>
        <w:gridCol w:w="710"/>
        <w:gridCol w:w="571"/>
        <w:gridCol w:w="686"/>
        <w:gridCol w:w="590"/>
        <w:gridCol w:w="715"/>
        <w:gridCol w:w="720"/>
        <w:gridCol w:w="691"/>
        <w:gridCol w:w="586"/>
        <w:gridCol w:w="634"/>
      </w:tblGrid>
      <w:tr>
        <w:trPr>
          <w:trHeight w:val="355" w:hRule="exact"/>
        </w:trPr>
        <w:tc>
          <w:tcPr>
            <w:shd w:val="clear" w:color="auto" w:fill="FFFFFF"/>
            <w:vMerge w:val="restart"/>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Наименование показателя</w:t>
            </w:r>
          </w:p>
        </w:tc>
        <w:tc>
          <w:tcPr>
            <w:shd w:val="clear" w:color="auto" w:fill="FFFFFF"/>
            <w:gridSpan w:val="9"/>
            <w:tcBorders>
              <w:left w:val="single" w:sz="4"/>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Значение для асфальтобетонов марки</w:t>
            </w:r>
          </w:p>
        </w:tc>
      </w:tr>
      <w:tr>
        <w:trPr>
          <w:trHeight w:val="336" w:hRule="exact"/>
        </w:trPr>
        <w:tc>
          <w:tcPr>
            <w:shd w:val="clear" w:color="auto" w:fill="FFFFFF"/>
            <w:vMerge/>
            <w:tcBorders>
              <w:left w:val="single" w:sz="4"/>
            </w:tcBorders>
            <w:vAlign w:val="top"/>
          </w:tcPr>
          <w:p>
            <w:pPr>
              <w:framePr w:w="9778" w:wrap="notBeside" w:vAnchor="text" w:hAnchor="text" w:xAlign="center" w:y="1"/>
            </w:pPr>
          </w:p>
        </w:tc>
        <w:tc>
          <w:tcPr>
            <w:shd w:val="clear" w:color="auto" w:fill="FFFFFF"/>
            <w:gridSpan w:val="2"/>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I</w:t>
            </w:r>
          </w:p>
        </w:tc>
        <w:tc>
          <w:tcPr>
            <w:shd w:val="clear" w:color="auto" w:fill="FFFFFF"/>
            <w:gridSpan w:val="7"/>
            <w:tcBorders>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II III</w:t>
            </w:r>
          </w:p>
        </w:tc>
      </w:tr>
      <w:tr>
        <w:trPr>
          <w:trHeight w:val="336" w:hRule="exact"/>
        </w:trPr>
        <w:tc>
          <w:tcPr>
            <w:shd w:val="clear" w:color="auto" w:fill="FFFFFF"/>
            <w:vMerge/>
            <w:tcBorders>
              <w:left w:val="single" w:sz="4"/>
            </w:tcBorders>
            <w:vAlign w:val="top"/>
          </w:tcPr>
          <w:p>
            <w:pPr>
              <w:framePr w:w="9778" w:wrap="notBeside" w:vAnchor="text" w:hAnchor="text" w:xAlign="center" w:y="1"/>
            </w:pPr>
          </w:p>
        </w:tc>
        <w:tc>
          <w:tcPr>
            <w:shd w:val="clear" w:color="auto" w:fill="FFFFFF"/>
            <w:gridSpan w:val="9"/>
            <w:tcBorders>
              <w:left w:val="single" w:sz="4"/>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0"/>
              </w:rPr>
              <w:t>Для дорожно-климатических зон</w:t>
            </w:r>
          </w:p>
        </w:tc>
      </w:tr>
      <w:tr>
        <w:trPr>
          <w:trHeight w:val="653" w:hRule="exact"/>
        </w:trPr>
        <w:tc>
          <w:tcPr>
            <w:shd w:val="clear" w:color="auto" w:fill="FFFFFF"/>
            <w:vMerge/>
            <w:tcBorders>
              <w:left w:val="single" w:sz="4"/>
            </w:tcBorders>
            <w:vAlign w:val="top"/>
          </w:tcPr>
          <w:p>
            <w:pPr>
              <w:framePr w:w="9778" w:wrap="notBeside" w:vAnchor="text" w:hAnchor="text" w:xAlign="center" w:y="1"/>
            </w:pP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320" w:right="0" w:firstLine="0"/>
            </w:pPr>
            <w:r>
              <w:rPr>
                <w:rStyle w:val="CharStyle27"/>
              </w:rPr>
              <w:t>I</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60" w:line="230" w:lineRule="exact"/>
              <w:ind w:left="120" w:right="0" w:firstLine="0"/>
            </w:pPr>
            <w:r>
              <w:rPr>
                <w:rStyle w:val="CharStyle27"/>
              </w:rPr>
              <w:t>II,</w:t>
            </w:r>
          </w:p>
          <w:p>
            <w:pPr>
              <w:pStyle w:val="Style10"/>
              <w:framePr w:w="9778" w:wrap="notBeside" w:vAnchor="text" w:hAnchor="text" w:xAlign="center" w:y="1"/>
              <w:widowControl w:val="0"/>
              <w:keepNext w:val="0"/>
              <w:keepLines w:val="0"/>
              <w:shd w:val="clear" w:color="auto" w:fill="auto"/>
              <w:bidi w:val="0"/>
              <w:jc w:val="left"/>
              <w:spacing w:before="60" w:after="0" w:line="230" w:lineRule="exact"/>
              <w:ind w:left="120" w:right="0" w:firstLine="0"/>
            </w:pPr>
            <w:r>
              <w:rPr>
                <w:rStyle w:val="CharStyle27"/>
              </w:rPr>
              <w:t>III</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IV, V</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27"/>
              </w:rPr>
              <w:t>I</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7"/>
              </w:rPr>
              <w:t>II, III</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7"/>
              </w:rPr>
              <w:t>IV, V</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320" w:right="0" w:firstLine="0"/>
            </w:pPr>
            <w:r>
              <w:rPr>
                <w:rStyle w:val="CharStyle27"/>
              </w:rPr>
              <w:t>I</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60" w:line="230" w:lineRule="exact"/>
              <w:ind w:left="140" w:right="0" w:firstLine="0"/>
            </w:pPr>
            <w:r>
              <w:rPr>
                <w:rStyle w:val="CharStyle27"/>
              </w:rPr>
              <w:t>II,</w:t>
            </w:r>
          </w:p>
          <w:p>
            <w:pPr>
              <w:pStyle w:val="Style10"/>
              <w:framePr w:w="9778" w:wrap="notBeside" w:vAnchor="text" w:hAnchor="text" w:xAlign="center" w:y="1"/>
              <w:widowControl w:val="0"/>
              <w:keepNext w:val="0"/>
              <w:keepLines w:val="0"/>
              <w:shd w:val="clear" w:color="auto" w:fill="auto"/>
              <w:bidi w:val="0"/>
              <w:jc w:val="left"/>
              <w:spacing w:before="60" w:after="0" w:line="230" w:lineRule="exact"/>
              <w:ind w:left="140" w:right="0" w:firstLine="0"/>
            </w:pPr>
            <w:r>
              <w:rPr>
                <w:rStyle w:val="CharStyle27"/>
              </w:rPr>
              <w:t>III</w:t>
            </w:r>
          </w:p>
        </w:tc>
        <w:tc>
          <w:tcPr>
            <w:shd w:val="clear" w:color="auto" w:fill="FFFFFF"/>
            <w:tcBorders>
              <w:left w:val="single" w:sz="4"/>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60" w:right="0" w:firstLine="0"/>
            </w:pPr>
            <w:r>
              <w:rPr>
                <w:rStyle w:val="CharStyle27"/>
              </w:rPr>
              <w:t>IV,</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60" w:right="0" w:firstLine="0"/>
            </w:pPr>
            <w:r>
              <w:rPr>
                <w:rStyle w:val="CharStyle27"/>
              </w:rPr>
              <w:t>V</w:t>
            </w:r>
          </w:p>
        </w:tc>
      </w:tr>
      <w:tr>
        <w:trPr>
          <w:trHeight w:val="2242" w:hRule="exact"/>
        </w:trPr>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317" w:lineRule="exact"/>
              <w:ind w:left="80" w:right="0" w:firstLine="0"/>
            </w:pPr>
            <w:r>
              <w:rPr>
                <w:rStyle w:val="CharStyle27"/>
              </w:rPr>
              <w:t>Предел прочности при сжатии, при температуре 50 °С, МПа, не менее, для асфальтобетонов - плотных типов:</w:t>
            </w:r>
          </w:p>
          <w:p>
            <w:pPr>
              <w:pStyle w:val="Style10"/>
              <w:framePr w:w="9778"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7"/>
              </w:rPr>
              <w:t>А</w:t>
            </w:r>
          </w:p>
          <w:p>
            <w:pPr>
              <w:pStyle w:val="Style10"/>
              <w:framePr w:w="9778"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7"/>
              </w:rPr>
              <w:t>Б</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80" w:right="0" w:firstLine="0"/>
            </w:pPr>
            <w:r>
              <w:rPr>
                <w:rStyle w:val="CharStyle27"/>
              </w:rPr>
              <w:t>0,9</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80" w:right="0" w:firstLine="0"/>
            </w:pPr>
            <w:r>
              <w:rPr>
                <w:rStyle w:val="CharStyle27"/>
              </w:rPr>
              <w:t>1,0</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60" w:line="230" w:lineRule="exact"/>
              <w:ind w:left="120" w:right="0" w:firstLine="0"/>
            </w:pPr>
            <w:r>
              <w:rPr>
                <w:rStyle w:val="CharStyle27"/>
              </w:rPr>
              <w:t>1,0</w:t>
            </w:r>
          </w:p>
          <w:p>
            <w:pPr>
              <w:pStyle w:val="Style10"/>
              <w:framePr w:w="9778" w:wrap="notBeside" w:vAnchor="text" w:hAnchor="text" w:xAlign="center" w:y="1"/>
              <w:widowControl w:val="0"/>
              <w:keepNext w:val="0"/>
              <w:keepLines w:val="0"/>
              <w:shd w:val="clear" w:color="auto" w:fill="auto"/>
              <w:bidi w:val="0"/>
              <w:jc w:val="left"/>
              <w:spacing w:before="60" w:after="0" w:line="230" w:lineRule="exact"/>
              <w:ind w:left="120" w:right="0" w:firstLine="0"/>
            </w:pPr>
            <w:r>
              <w:rPr>
                <w:rStyle w:val="CharStyle27"/>
              </w:rPr>
              <w:t>1,2</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60" w:line="230" w:lineRule="exact"/>
              <w:ind w:left="180" w:right="0" w:firstLine="0"/>
            </w:pPr>
            <w:r>
              <w:rPr>
                <w:rStyle w:val="CharStyle27"/>
              </w:rPr>
              <w:t>1,1</w:t>
            </w:r>
          </w:p>
          <w:p>
            <w:pPr>
              <w:pStyle w:val="Style10"/>
              <w:framePr w:w="9778" w:wrap="notBeside" w:vAnchor="text" w:hAnchor="text" w:xAlign="center" w:y="1"/>
              <w:widowControl w:val="0"/>
              <w:keepNext w:val="0"/>
              <w:keepLines w:val="0"/>
              <w:shd w:val="clear" w:color="auto" w:fill="auto"/>
              <w:bidi w:val="0"/>
              <w:jc w:val="left"/>
              <w:spacing w:before="60" w:after="0" w:line="230" w:lineRule="exact"/>
              <w:ind w:left="180" w:right="0" w:firstLine="0"/>
            </w:pPr>
            <w:r>
              <w:rPr>
                <w:rStyle w:val="CharStyle27"/>
              </w:rPr>
              <w:t>1,3</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20" w:right="0" w:firstLine="0"/>
            </w:pPr>
            <w:r>
              <w:rPr>
                <w:rStyle w:val="CharStyle27"/>
              </w:rPr>
              <w:t>0,8</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20" w:right="0" w:firstLine="0"/>
            </w:pPr>
            <w:r>
              <w:rPr>
                <w:rStyle w:val="CharStyle27"/>
              </w:rPr>
              <w:t>0,9</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80" w:right="0" w:firstLine="0"/>
            </w:pPr>
            <w:r>
              <w:rPr>
                <w:rStyle w:val="CharStyle27"/>
              </w:rPr>
              <w:t>0,9</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80" w:right="0" w:firstLine="0"/>
            </w:pPr>
            <w:r>
              <w:rPr>
                <w:rStyle w:val="CharStyle30"/>
              </w:rPr>
              <w:t>1,0</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200" w:right="0" w:firstLine="0"/>
            </w:pPr>
            <w:r>
              <w:rPr>
                <w:rStyle w:val="CharStyle27"/>
              </w:rPr>
              <w:t>1,0</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200" w:right="0" w:firstLine="0"/>
            </w:pPr>
            <w:r>
              <w:rPr>
                <w:rStyle w:val="CharStyle27"/>
              </w:rPr>
              <w:t>1,2</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0,8</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0,9</w:t>
            </w:r>
          </w:p>
        </w:tc>
        <w:tc>
          <w:tcPr>
            <w:shd w:val="clear" w:color="auto" w:fill="FFFFFF"/>
            <w:tcBorders>
              <w:left w:val="single" w:sz="4"/>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1,1</w:t>
            </w:r>
          </w:p>
        </w:tc>
      </w:tr>
      <w:tr>
        <w:trPr>
          <w:trHeight w:val="1301" w:hRule="exact"/>
        </w:trPr>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27"/>
              </w:rPr>
              <w:t>Предел прочности при сжатии, при температуре 20°С для асфальтобетонов всех типов, МПа, не менее</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2,5</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2,5</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2,5</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2,2</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0"/>
              </w:rPr>
              <w:t>2,2</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7"/>
              </w:rPr>
              <w:t>2,2</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2,0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2,0</w:t>
            </w:r>
          </w:p>
        </w:tc>
        <w:tc>
          <w:tcPr>
            <w:shd w:val="clear" w:color="auto" w:fill="FFFFFF"/>
            <w:tcBorders>
              <w:left w:val="single" w:sz="4"/>
              <w:righ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2,0</w:t>
            </w:r>
          </w:p>
        </w:tc>
      </w:tr>
      <w:tr>
        <w:trPr>
          <w:trHeight w:val="1277" w:hRule="exact"/>
        </w:trPr>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27"/>
              </w:rPr>
              <w:t>Предел прочности при сжатии, при температуре 0°С для асфальтобетонов всех типов, МПа, не более</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9,0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11,0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13,0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10,0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0"/>
              </w:rPr>
              <w:t>12,0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7"/>
              </w:rPr>
              <w:t>13,0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10,0</w:t>
            </w:r>
          </w:p>
        </w:tc>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12,0</w:t>
            </w:r>
          </w:p>
        </w:tc>
        <w:tc>
          <w:tcPr>
            <w:shd w:val="clear" w:color="auto" w:fill="FFFFFF"/>
            <w:tcBorders>
              <w:left w:val="single" w:sz="4"/>
              <w:righ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13,0</w:t>
            </w:r>
          </w:p>
        </w:tc>
      </w:tr>
      <w:tr>
        <w:trPr>
          <w:trHeight w:val="989" w:hRule="exact"/>
        </w:trPr>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80" w:right="0" w:firstLine="0"/>
            </w:pPr>
            <w:r>
              <w:rPr>
                <w:rStyle w:val="CharStyle27"/>
              </w:rPr>
              <w:t>Водостойкость, не менее:</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80" w:right="0" w:firstLine="0"/>
            </w:pPr>
            <w:r>
              <w:rPr>
                <w:rStyle w:val="CharStyle27"/>
              </w:rPr>
              <w:t>- плотных асфальтобетонов</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0,95</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0,90</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0,85</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0,90</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0"/>
              </w:rPr>
              <w:t>0,85</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200" w:right="0" w:firstLine="0"/>
            </w:pPr>
            <w:r>
              <w:rPr>
                <w:rStyle w:val="CharStyle27"/>
              </w:rPr>
              <w:t>0,80</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0,85</w:t>
            </w:r>
          </w:p>
        </w:tc>
        <w:tc>
          <w:tcPr>
            <w:shd w:val="clear" w:color="auto" w:fill="FFFFFF"/>
            <w:tcBorders>
              <w:lef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0,75</w:t>
            </w:r>
          </w:p>
        </w:tc>
        <w:tc>
          <w:tcPr>
            <w:shd w:val="clear" w:color="auto" w:fill="FFFFFF"/>
            <w:tcBorders>
              <w:left w:val="single" w:sz="4"/>
              <w:right w:val="single" w:sz="4"/>
              <w:top w:val="single" w:sz="4"/>
            </w:tcBorders>
            <w:vAlign w:val="center"/>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0,70</w:t>
            </w:r>
          </w:p>
        </w:tc>
      </w:tr>
      <w:tr>
        <w:trPr>
          <w:trHeight w:val="2611" w:hRule="exact"/>
        </w:trPr>
        <w:tc>
          <w:tcPr>
            <w:shd w:val="clear" w:color="auto" w:fill="FFFFFF"/>
            <w:tcBorders>
              <w:left w:val="single" w:sz="4"/>
              <w:top w:val="single" w:sz="4"/>
            </w:tcBorders>
            <w:vAlign w:val="top"/>
          </w:tcPr>
          <w:p>
            <w:pPr>
              <w:pStyle w:val="Style10"/>
              <w:framePr w:w="9778" w:wrap="notBeside" w:vAnchor="text" w:hAnchor="text" w:xAlign="center" w:y="1"/>
              <w:widowControl w:val="0"/>
              <w:keepNext w:val="0"/>
              <w:keepLines w:val="0"/>
              <w:shd w:val="clear" w:color="auto" w:fill="auto"/>
              <w:bidi w:val="0"/>
              <w:jc w:val="left"/>
              <w:spacing w:before="0" w:after="0" w:line="317" w:lineRule="exact"/>
              <w:ind w:left="80" w:right="0" w:firstLine="0"/>
            </w:pPr>
            <w:r>
              <w:rPr>
                <w:rStyle w:val="CharStyle27"/>
              </w:rPr>
              <w:t>Сдвигоустойчивость по: коэффициенту внутреннего трения, не менее, для асфальтобетонов типов: высоко плотных А Б</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322" w:lineRule="exact"/>
              <w:ind w:left="180" w:right="0" w:firstLine="0"/>
            </w:pPr>
            <w:r>
              <w:rPr>
                <w:rStyle w:val="CharStyle27"/>
              </w:rPr>
              <w:t>0,88</w:t>
            </w:r>
          </w:p>
          <w:p>
            <w:pPr>
              <w:pStyle w:val="Style10"/>
              <w:framePr w:w="9778" w:wrap="notBeside" w:vAnchor="text" w:hAnchor="text" w:xAlign="center" w:y="1"/>
              <w:widowControl w:val="0"/>
              <w:keepNext w:val="0"/>
              <w:keepLines w:val="0"/>
              <w:shd w:val="clear" w:color="auto" w:fill="auto"/>
              <w:bidi w:val="0"/>
              <w:jc w:val="left"/>
              <w:spacing w:before="0" w:after="0" w:line="322" w:lineRule="exact"/>
              <w:ind w:left="180" w:right="0" w:firstLine="0"/>
            </w:pPr>
            <w:r>
              <w:rPr>
                <w:rStyle w:val="CharStyle27"/>
              </w:rPr>
              <w:t>0,86</w:t>
            </w:r>
          </w:p>
          <w:p>
            <w:pPr>
              <w:pStyle w:val="Style10"/>
              <w:framePr w:w="9778" w:wrap="notBeside" w:vAnchor="text" w:hAnchor="text" w:xAlign="center" w:y="1"/>
              <w:widowControl w:val="0"/>
              <w:keepNext w:val="0"/>
              <w:keepLines w:val="0"/>
              <w:shd w:val="clear" w:color="auto" w:fill="auto"/>
              <w:bidi w:val="0"/>
              <w:jc w:val="left"/>
              <w:spacing w:before="0" w:after="0" w:line="322" w:lineRule="exact"/>
              <w:ind w:left="180" w:right="0" w:firstLine="0"/>
            </w:pPr>
            <w:r>
              <w:rPr>
                <w:rStyle w:val="CharStyle27"/>
              </w:rPr>
              <w:t>0,80</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322" w:lineRule="exact"/>
              <w:ind w:left="120" w:right="0" w:firstLine="0"/>
            </w:pPr>
            <w:r>
              <w:rPr>
                <w:rStyle w:val="CharStyle27"/>
              </w:rPr>
              <w:t>0,89</w:t>
            </w:r>
          </w:p>
          <w:p>
            <w:pPr>
              <w:pStyle w:val="Style10"/>
              <w:framePr w:w="9778" w:wrap="notBeside" w:vAnchor="text" w:hAnchor="text" w:xAlign="center" w:y="1"/>
              <w:widowControl w:val="0"/>
              <w:keepNext w:val="0"/>
              <w:keepLines w:val="0"/>
              <w:shd w:val="clear" w:color="auto" w:fill="auto"/>
              <w:bidi w:val="0"/>
              <w:jc w:val="left"/>
              <w:spacing w:before="0" w:after="0" w:line="322" w:lineRule="exact"/>
              <w:ind w:left="120" w:right="0" w:firstLine="0"/>
            </w:pPr>
            <w:r>
              <w:rPr>
                <w:rStyle w:val="CharStyle27"/>
              </w:rPr>
              <w:t>0,87</w:t>
            </w:r>
          </w:p>
          <w:p>
            <w:pPr>
              <w:pStyle w:val="Style10"/>
              <w:framePr w:w="9778" w:wrap="notBeside" w:vAnchor="text" w:hAnchor="text" w:xAlign="center" w:y="1"/>
              <w:widowControl w:val="0"/>
              <w:keepNext w:val="0"/>
              <w:keepLines w:val="0"/>
              <w:shd w:val="clear" w:color="auto" w:fill="auto"/>
              <w:bidi w:val="0"/>
              <w:jc w:val="left"/>
              <w:spacing w:before="0" w:after="0" w:line="322" w:lineRule="exact"/>
              <w:ind w:left="120" w:right="0" w:firstLine="0"/>
            </w:pPr>
            <w:r>
              <w:rPr>
                <w:rStyle w:val="CharStyle27"/>
              </w:rPr>
              <w:t>0,81</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317" w:lineRule="exact"/>
              <w:ind w:left="180" w:right="0" w:firstLine="0"/>
            </w:pPr>
            <w:r>
              <w:rPr>
                <w:rStyle w:val="CharStyle27"/>
              </w:rPr>
              <w:t>0,91</w:t>
            </w:r>
          </w:p>
          <w:p>
            <w:pPr>
              <w:pStyle w:val="Style10"/>
              <w:framePr w:w="9778" w:wrap="notBeside" w:vAnchor="text" w:hAnchor="text" w:xAlign="center" w:y="1"/>
              <w:widowControl w:val="0"/>
              <w:keepNext w:val="0"/>
              <w:keepLines w:val="0"/>
              <w:shd w:val="clear" w:color="auto" w:fill="auto"/>
              <w:bidi w:val="0"/>
              <w:jc w:val="left"/>
              <w:spacing w:before="0" w:after="0" w:line="317" w:lineRule="exact"/>
              <w:ind w:left="180" w:right="0" w:firstLine="0"/>
            </w:pPr>
            <w:r>
              <w:rPr>
                <w:rStyle w:val="CharStyle27"/>
              </w:rPr>
              <w:t>0,89</w:t>
            </w:r>
          </w:p>
          <w:p>
            <w:pPr>
              <w:pStyle w:val="Style10"/>
              <w:framePr w:w="9778" w:wrap="notBeside" w:vAnchor="text" w:hAnchor="text" w:xAlign="center" w:y="1"/>
              <w:widowControl w:val="0"/>
              <w:keepNext w:val="0"/>
              <w:keepLines w:val="0"/>
              <w:shd w:val="clear" w:color="auto" w:fill="auto"/>
              <w:bidi w:val="0"/>
              <w:jc w:val="left"/>
              <w:spacing w:before="0" w:after="0" w:line="317" w:lineRule="exact"/>
              <w:ind w:left="180" w:right="0" w:firstLine="0"/>
            </w:pPr>
            <w:r>
              <w:rPr>
                <w:rStyle w:val="CharStyle27"/>
              </w:rPr>
              <w:t>0,83</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20" w:right="0" w:firstLine="0"/>
            </w:pPr>
            <w:r>
              <w:rPr>
                <w:rStyle w:val="CharStyle27"/>
              </w:rPr>
              <w:t>0,86</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20" w:right="0" w:firstLine="0"/>
            </w:pPr>
            <w:r>
              <w:rPr>
                <w:rStyle w:val="CharStyle27"/>
              </w:rPr>
              <w:t>0,80</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180" w:right="0" w:firstLine="0"/>
            </w:pPr>
            <w:r>
              <w:rPr>
                <w:rStyle w:val="CharStyle27"/>
              </w:rPr>
              <w:t>0,87</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180" w:right="0" w:firstLine="0"/>
            </w:pPr>
            <w:r>
              <w:rPr>
                <w:rStyle w:val="CharStyle30"/>
              </w:rPr>
              <w:t>0,81</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120" w:line="230" w:lineRule="exact"/>
              <w:ind w:left="200" w:right="0" w:firstLine="0"/>
            </w:pPr>
            <w:r>
              <w:rPr>
                <w:rStyle w:val="CharStyle27"/>
              </w:rPr>
              <w:t>0,89</w:t>
            </w:r>
          </w:p>
          <w:p>
            <w:pPr>
              <w:pStyle w:val="Style10"/>
              <w:framePr w:w="9778" w:wrap="notBeside" w:vAnchor="text" w:hAnchor="text" w:xAlign="center" w:y="1"/>
              <w:widowControl w:val="0"/>
              <w:keepNext w:val="0"/>
              <w:keepLines w:val="0"/>
              <w:shd w:val="clear" w:color="auto" w:fill="auto"/>
              <w:bidi w:val="0"/>
              <w:jc w:val="left"/>
              <w:spacing w:before="120" w:after="0" w:line="230" w:lineRule="exact"/>
              <w:ind w:left="200" w:right="0" w:firstLine="0"/>
            </w:pPr>
            <w:r>
              <w:rPr>
                <w:rStyle w:val="CharStyle27"/>
              </w:rPr>
              <w:t>0,83</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0,79</w:t>
            </w:r>
          </w:p>
        </w:tc>
        <w:tc>
          <w:tcPr>
            <w:shd w:val="clear" w:color="auto" w:fill="FFFFFF"/>
            <w:tcBorders>
              <w:lef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0,80</w:t>
            </w:r>
          </w:p>
        </w:tc>
        <w:tc>
          <w:tcPr>
            <w:shd w:val="clear" w:color="auto" w:fill="FFFFFF"/>
            <w:tcBorders>
              <w:left w:val="single" w:sz="4"/>
              <w:right w:val="single" w:sz="4"/>
              <w:top w:val="single" w:sz="4"/>
            </w:tcBorders>
            <w:vAlign w:val="bottom"/>
          </w:tcPr>
          <w:p>
            <w:pPr>
              <w:pStyle w:val="Style10"/>
              <w:framePr w:w="9778"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0,81</w:t>
            </w:r>
          </w:p>
        </w:tc>
      </w:tr>
    </w:tbl>
    <w:p>
      <w:pPr>
        <w:widowControl w:val="0"/>
        <w:rPr>
          <w:sz w:val="2"/>
          <w:szCs w:val="2"/>
        </w:rPr>
      </w:pPr>
    </w:p>
    <w:tbl>
      <w:tblPr>
        <w:tblOverlap w:val="never"/>
        <w:tblLayout w:type="fixed"/>
        <w:jc w:val="center"/>
      </w:tblPr>
      <w:tblGrid>
        <w:gridCol w:w="3859"/>
        <w:gridCol w:w="710"/>
        <w:gridCol w:w="566"/>
        <w:gridCol w:w="686"/>
        <w:gridCol w:w="590"/>
        <w:gridCol w:w="715"/>
        <w:gridCol w:w="720"/>
        <w:gridCol w:w="691"/>
        <w:gridCol w:w="586"/>
        <w:gridCol w:w="629"/>
      </w:tblGrid>
      <w:tr>
        <w:trPr>
          <w:trHeight w:val="2304" w:hRule="exact"/>
        </w:trPr>
        <w:tc>
          <w:tcPr>
            <w:shd w:val="clear" w:color="auto" w:fill="FFFFFF"/>
            <w:tcBorders>
              <w:left w:val="single" w:sz="4"/>
              <w:top w:val="single" w:sz="4"/>
            </w:tcBorders>
            <w:vAlign w:val="center"/>
          </w:tcPr>
          <w:p>
            <w:pPr>
              <w:pStyle w:val="Style10"/>
              <w:framePr w:w="9754" w:wrap="notBeside" w:vAnchor="text" w:hAnchor="text" w:xAlign="center" w:y="1"/>
              <w:widowControl w:val="0"/>
              <w:keepNext w:val="0"/>
              <w:keepLines w:val="0"/>
              <w:shd w:val="clear" w:color="auto" w:fill="auto"/>
              <w:bidi w:val="0"/>
              <w:jc w:val="left"/>
              <w:spacing w:before="0" w:after="0" w:line="317" w:lineRule="exact"/>
              <w:ind w:left="80" w:right="0" w:firstLine="0"/>
            </w:pPr>
            <w:r>
              <w:rPr>
                <w:rStyle w:val="CharStyle27"/>
              </w:rPr>
              <w:t>- сцеплению при сдвиге при температуре 50 °С, МПа, не менее, для асфальтобетонов типов: высокоплотных А Б</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312" w:lineRule="exact"/>
              <w:ind w:left="180" w:right="0" w:firstLine="0"/>
            </w:pPr>
            <w:r>
              <w:rPr>
                <w:rStyle w:val="CharStyle27"/>
              </w:rPr>
              <w:t>0,25</w:t>
            </w:r>
          </w:p>
          <w:p>
            <w:pPr>
              <w:pStyle w:val="Style10"/>
              <w:framePr w:w="9754" w:wrap="notBeside" w:vAnchor="text" w:hAnchor="text" w:xAlign="center" w:y="1"/>
              <w:widowControl w:val="0"/>
              <w:keepNext w:val="0"/>
              <w:keepLines w:val="0"/>
              <w:shd w:val="clear" w:color="auto" w:fill="auto"/>
              <w:bidi w:val="0"/>
              <w:jc w:val="left"/>
              <w:spacing w:before="0" w:after="0" w:line="312" w:lineRule="exact"/>
              <w:ind w:left="180" w:right="0" w:firstLine="0"/>
            </w:pPr>
            <w:r>
              <w:rPr>
                <w:rStyle w:val="CharStyle27"/>
              </w:rPr>
              <w:t>0,23</w:t>
            </w:r>
          </w:p>
          <w:p>
            <w:pPr>
              <w:pStyle w:val="Style10"/>
              <w:framePr w:w="9754" w:wrap="notBeside" w:vAnchor="text" w:hAnchor="text" w:xAlign="center" w:y="1"/>
              <w:widowControl w:val="0"/>
              <w:keepNext w:val="0"/>
              <w:keepLines w:val="0"/>
              <w:shd w:val="clear" w:color="auto" w:fill="auto"/>
              <w:bidi w:val="0"/>
              <w:jc w:val="left"/>
              <w:spacing w:before="0" w:after="0" w:line="312" w:lineRule="exact"/>
              <w:ind w:left="180" w:right="0" w:firstLine="0"/>
            </w:pPr>
            <w:r>
              <w:rPr>
                <w:rStyle w:val="CharStyle27"/>
              </w:rPr>
              <w:t>0,32</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27"/>
              </w:rPr>
              <w:t>0,27</w:t>
            </w:r>
          </w:p>
          <w:p>
            <w:pPr>
              <w:pStyle w:val="Style10"/>
              <w:framePr w:w="9754"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27"/>
              </w:rPr>
              <w:t>0,25</w:t>
            </w:r>
          </w:p>
          <w:p>
            <w:pPr>
              <w:pStyle w:val="Style10"/>
              <w:framePr w:w="9754"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27"/>
              </w:rPr>
              <w:t>0,37</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317" w:lineRule="exact"/>
              <w:ind w:left="160" w:right="0" w:firstLine="0"/>
            </w:pPr>
            <w:r>
              <w:rPr>
                <w:rStyle w:val="CharStyle27"/>
              </w:rPr>
              <w:t>0,30</w:t>
            </w:r>
          </w:p>
          <w:p>
            <w:pPr>
              <w:pStyle w:val="Style10"/>
              <w:framePr w:w="9754" w:wrap="notBeside" w:vAnchor="text" w:hAnchor="text" w:xAlign="center" w:y="1"/>
              <w:widowControl w:val="0"/>
              <w:keepNext w:val="0"/>
              <w:keepLines w:val="0"/>
              <w:shd w:val="clear" w:color="auto" w:fill="auto"/>
              <w:bidi w:val="0"/>
              <w:jc w:val="left"/>
              <w:spacing w:before="0" w:after="0" w:line="317" w:lineRule="exact"/>
              <w:ind w:left="160" w:right="0" w:firstLine="0"/>
            </w:pPr>
            <w:r>
              <w:rPr>
                <w:rStyle w:val="CharStyle27"/>
              </w:rPr>
              <w:t>0,26</w:t>
            </w:r>
          </w:p>
          <w:p>
            <w:pPr>
              <w:pStyle w:val="Style10"/>
              <w:framePr w:w="9754" w:wrap="notBeside" w:vAnchor="text" w:hAnchor="text" w:xAlign="center" w:y="1"/>
              <w:widowControl w:val="0"/>
              <w:keepNext w:val="0"/>
              <w:keepLines w:val="0"/>
              <w:shd w:val="clear" w:color="auto" w:fill="auto"/>
              <w:bidi w:val="0"/>
              <w:jc w:val="left"/>
              <w:spacing w:before="0" w:after="0" w:line="317" w:lineRule="exact"/>
              <w:ind w:left="160" w:right="0" w:firstLine="0"/>
            </w:pPr>
            <w:r>
              <w:rPr>
                <w:rStyle w:val="CharStyle27"/>
              </w:rPr>
              <w:t>0,38</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120" w:line="230" w:lineRule="exact"/>
              <w:ind w:left="120" w:right="0" w:firstLine="0"/>
            </w:pPr>
            <w:r>
              <w:rPr>
                <w:rStyle w:val="CharStyle27"/>
              </w:rPr>
              <w:t>0,22</w:t>
            </w:r>
          </w:p>
          <w:p>
            <w:pPr>
              <w:pStyle w:val="Style10"/>
              <w:framePr w:w="9754" w:wrap="notBeside" w:vAnchor="text" w:hAnchor="text" w:xAlign="center" w:y="1"/>
              <w:widowControl w:val="0"/>
              <w:keepNext w:val="0"/>
              <w:keepLines w:val="0"/>
              <w:shd w:val="clear" w:color="auto" w:fill="auto"/>
              <w:bidi w:val="0"/>
              <w:jc w:val="left"/>
              <w:spacing w:before="120" w:after="0" w:line="230" w:lineRule="exact"/>
              <w:ind w:left="120" w:right="0" w:firstLine="0"/>
            </w:pPr>
            <w:r>
              <w:rPr>
                <w:rStyle w:val="CharStyle27"/>
              </w:rPr>
              <w:t>0,31</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120" w:line="230" w:lineRule="exact"/>
              <w:ind w:left="180" w:right="0" w:firstLine="0"/>
            </w:pPr>
            <w:r>
              <w:rPr>
                <w:rStyle w:val="CharStyle27"/>
              </w:rPr>
              <w:t>0,24</w:t>
            </w:r>
          </w:p>
          <w:p>
            <w:pPr>
              <w:pStyle w:val="Style10"/>
              <w:framePr w:w="9754" w:wrap="notBeside" w:vAnchor="text" w:hAnchor="text" w:xAlign="center" w:y="1"/>
              <w:widowControl w:val="0"/>
              <w:keepNext w:val="0"/>
              <w:keepLines w:val="0"/>
              <w:shd w:val="clear" w:color="auto" w:fill="auto"/>
              <w:bidi w:val="0"/>
              <w:jc w:val="left"/>
              <w:spacing w:before="120" w:after="0" w:line="230" w:lineRule="exact"/>
              <w:ind w:left="180" w:right="0" w:firstLine="0"/>
            </w:pPr>
            <w:r>
              <w:rPr>
                <w:rStyle w:val="CharStyle27"/>
              </w:rPr>
              <w:t>0,35</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120" w:line="230" w:lineRule="exact"/>
              <w:ind w:left="180" w:right="0" w:firstLine="0"/>
            </w:pPr>
            <w:r>
              <w:rPr>
                <w:rStyle w:val="CharStyle27"/>
              </w:rPr>
              <w:t>0,25</w:t>
            </w:r>
          </w:p>
          <w:p>
            <w:pPr>
              <w:pStyle w:val="Style10"/>
              <w:framePr w:w="9754" w:wrap="notBeside" w:vAnchor="text" w:hAnchor="text" w:xAlign="center" w:y="1"/>
              <w:widowControl w:val="0"/>
              <w:keepNext w:val="0"/>
              <w:keepLines w:val="0"/>
              <w:shd w:val="clear" w:color="auto" w:fill="auto"/>
              <w:bidi w:val="0"/>
              <w:jc w:val="left"/>
              <w:spacing w:before="120" w:after="0" w:line="230" w:lineRule="exact"/>
              <w:ind w:left="180" w:right="0" w:firstLine="0"/>
            </w:pPr>
            <w:r>
              <w:rPr>
                <w:rStyle w:val="CharStyle27"/>
              </w:rPr>
              <w:t>0,36</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0,29</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0,34</w:t>
            </w:r>
          </w:p>
        </w:tc>
        <w:tc>
          <w:tcPr>
            <w:shd w:val="clear" w:color="auto" w:fill="FFFFFF"/>
            <w:tcBorders>
              <w:left w:val="single" w:sz="4"/>
              <w:righ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0,36</w:t>
            </w:r>
          </w:p>
        </w:tc>
      </w:tr>
      <w:tr>
        <w:trPr>
          <w:trHeight w:val="2285" w:hRule="exact"/>
        </w:trPr>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both"/>
              <w:spacing w:before="0" w:after="0" w:line="317" w:lineRule="exact"/>
              <w:ind w:left="0" w:right="0" w:firstLine="0"/>
            </w:pPr>
            <w:r>
              <w:rPr>
                <w:rStyle w:val="CharStyle27"/>
              </w:rPr>
              <w:t>Трещиностойкость по пределу прочности на растяжение при расколе при температуре 0 °С и скорости деформирования 50 мм/мин для асфальтобетонов всех типов, МПа:</w:t>
            </w:r>
          </w:p>
          <w:p>
            <w:pPr>
              <w:pStyle w:val="Style10"/>
              <w:framePr w:w="9754" w:wrap="notBeside" w:vAnchor="text" w:hAnchor="text" w:xAlign="center" w:y="1"/>
              <w:widowControl w:val="0"/>
              <w:keepNext w:val="0"/>
              <w:keepLines w:val="0"/>
              <w:shd w:val="clear" w:color="auto" w:fill="auto"/>
              <w:bidi w:val="0"/>
              <w:jc w:val="left"/>
              <w:spacing w:before="0" w:after="0" w:line="317" w:lineRule="exact"/>
              <w:ind w:left="80" w:right="0" w:firstLine="0"/>
            </w:pPr>
            <w:r>
              <w:rPr>
                <w:rStyle w:val="CharStyle27"/>
              </w:rPr>
              <w:t>- не менее</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3,0</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7"/>
              </w:rPr>
              <w:t>3,5</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4,0</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2,5</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3,0</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3,5</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2,0</w:t>
            </w:r>
          </w:p>
        </w:tc>
        <w:tc>
          <w:tcPr>
            <w:shd w:val="clear" w:color="auto" w:fill="FFFFFF"/>
            <w:tcBorders>
              <w:lef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2,5</w:t>
            </w:r>
          </w:p>
        </w:tc>
        <w:tc>
          <w:tcPr>
            <w:shd w:val="clear" w:color="auto" w:fill="FFFFFF"/>
            <w:tcBorders>
              <w:left w:val="single" w:sz="4"/>
              <w:right w:val="single" w:sz="4"/>
              <w:top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3,0</w:t>
            </w:r>
          </w:p>
        </w:tc>
      </w:tr>
      <w:tr>
        <w:trPr>
          <w:trHeight w:val="307" w:hRule="exact"/>
        </w:trPr>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7"/>
              </w:rPr>
              <w:t>- не более</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5,5</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7"/>
              </w:rPr>
              <w:t>6,0</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27"/>
              </w:rPr>
              <w:t>6,5</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6,0</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6,5</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7,0</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27"/>
              </w:rPr>
              <w:t>6,5</w:t>
            </w:r>
          </w:p>
        </w:tc>
        <w:tc>
          <w:tcPr>
            <w:shd w:val="clear" w:color="auto" w:fill="FFFFFF"/>
            <w:tcBorders>
              <w:lef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7,0</w:t>
            </w:r>
          </w:p>
        </w:tc>
        <w:tc>
          <w:tcPr>
            <w:shd w:val="clear" w:color="auto" w:fill="FFFFFF"/>
            <w:tcBorders>
              <w:left w:val="single" w:sz="4"/>
              <w:right w:val="single" w:sz="4"/>
              <w:bottom w:val="single" w:sz="4"/>
            </w:tcBorders>
            <w:vAlign w:val="bottom"/>
          </w:tcPr>
          <w:p>
            <w:pPr>
              <w:pStyle w:val="Style10"/>
              <w:framePr w:w="9754"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7"/>
              </w:rPr>
              <w:t>7,5</w:t>
            </w:r>
          </w:p>
        </w:tc>
      </w:tr>
    </w:tbl>
    <w:p>
      <w:pPr>
        <w:widowControl w:val="0"/>
        <w:rPr>
          <w:sz w:val="2"/>
          <w:szCs w:val="2"/>
        </w:rPr>
      </w:pPr>
    </w:p>
    <w:p>
      <w:pPr>
        <w:pStyle w:val="Style25"/>
        <w:framePr w:w="9422" w:wrap="notBeside" w:vAnchor="text" w:hAnchor="text" w:xAlign="center" w:y="1"/>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Пунктом 4.1.10 части 4 «Технические требования» ГОСТ 9128-2013 установлено, что водонасыщение высокоплотных и плотных асфальтобетонов из горячих смесей должно соответствовать указанному в таблице:</w:t>
      </w:r>
    </w:p>
    <w:tbl>
      <w:tblPr>
        <w:tblOverlap w:val="never"/>
        <w:tblLayout w:type="fixed"/>
        <w:jc w:val="center"/>
      </w:tblPr>
      <w:tblGrid>
        <w:gridCol w:w="2861"/>
        <w:gridCol w:w="3408"/>
        <w:gridCol w:w="3154"/>
      </w:tblGrid>
      <w:tr>
        <w:trPr>
          <w:trHeight w:val="370" w:hRule="exact"/>
        </w:trPr>
        <w:tc>
          <w:tcPr>
            <w:shd w:val="clear" w:color="auto" w:fill="FFFFFF"/>
            <w:tcBorders>
              <w:lef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Вид и тип</w:t>
            </w:r>
          </w:p>
        </w:tc>
        <w:tc>
          <w:tcPr>
            <w:shd w:val="clear" w:color="auto" w:fill="FFFFFF"/>
            <w:gridSpan w:val="2"/>
            <w:tcBorders>
              <w:left w:val="single" w:sz="4"/>
              <w:righ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Значение водонасыщения для</w:t>
            </w:r>
          </w:p>
        </w:tc>
      </w:tr>
      <w:tr>
        <w:trPr>
          <w:trHeight w:val="278" w:hRule="exact"/>
        </w:trPr>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асфальтобетонов</w:t>
            </w:r>
          </w:p>
        </w:tc>
        <w:tc>
          <w:tcPr>
            <w:shd w:val="clear" w:color="auto" w:fill="FFFFFF"/>
            <w:tcBorders>
              <w:left w:val="single" w:sz="4"/>
            </w:tcBorders>
            <w:vAlign w:val="top"/>
          </w:tcPr>
          <w:p>
            <w:pPr>
              <w:framePr w:w="9422" w:wrap="notBeside" w:vAnchor="text" w:hAnchor="text" w:xAlign="center" w:y="1"/>
              <w:widowControl w:val="0"/>
              <w:rPr>
                <w:sz w:val="10"/>
                <w:szCs w:val="10"/>
              </w:rPr>
            </w:pPr>
          </w:p>
        </w:tc>
        <w:tc>
          <w:tcPr>
            <w:shd w:val="clear" w:color="auto" w:fill="FFFFFF"/>
            <w:tcBorders>
              <w:right w:val="single" w:sz="4"/>
            </w:tcBorders>
            <w:vAlign w:val="top"/>
          </w:tcPr>
          <w:p>
            <w:pPr>
              <w:framePr w:w="9422" w:wrap="notBeside" w:vAnchor="text" w:hAnchor="text" w:xAlign="center" w:y="1"/>
              <w:widowControl w:val="0"/>
              <w:rPr>
                <w:sz w:val="10"/>
                <w:szCs w:val="10"/>
              </w:rPr>
            </w:pPr>
          </w:p>
        </w:tc>
      </w:tr>
      <w:tr>
        <w:trPr>
          <w:trHeight w:val="389" w:hRule="exact"/>
        </w:trPr>
        <w:tc>
          <w:tcPr>
            <w:shd w:val="clear" w:color="auto" w:fill="FFFFFF"/>
            <w:tcBorders>
              <w:left w:val="single" w:sz="4"/>
            </w:tcBorders>
            <w:vAlign w:val="top"/>
          </w:tcPr>
          <w:p>
            <w:pPr>
              <w:framePr w:w="942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образцов, отформованных из</w:t>
            </w:r>
          </w:p>
        </w:tc>
        <w:tc>
          <w:tcPr>
            <w:shd w:val="clear" w:color="auto" w:fill="FFFFFF"/>
            <w:tcBorders>
              <w:left w:val="single" w:sz="4"/>
              <w:righ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вырубок и кернов готового</w:t>
            </w:r>
          </w:p>
        </w:tc>
      </w:tr>
      <w:tr>
        <w:trPr>
          <w:trHeight w:val="250" w:hRule="exact"/>
        </w:trPr>
        <w:tc>
          <w:tcPr>
            <w:shd w:val="clear" w:color="auto" w:fill="FFFFFF"/>
            <w:tcBorders>
              <w:left w:val="single" w:sz="4"/>
            </w:tcBorders>
            <w:vAlign w:val="top"/>
          </w:tcPr>
          <w:p>
            <w:pPr>
              <w:framePr w:w="9422" w:wrap="notBeside" w:vAnchor="text" w:hAnchor="text" w:xAlign="center" w:y="1"/>
              <w:widowControl w:val="0"/>
              <w:rPr>
                <w:sz w:val="10"/>
                <w:szCs w:val="10"/>
              </w:rPr>
            </w:pPr>
          </w:p>
        </w:tc>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смеси</w:t>
            </w:r>
          </w:p>
        </w:tc>
        <w:tc>
          <w:tcPr>
            <w:shd w:val="clear" w:color="auto" w:fill="FFFFFF"/>
            <w:tcBorders>
              <w:left w:val="single" w:sz="4"/>
              <w:righ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покрытия, не более</w:t>
            </w:r>
          </w:p>
        </w:tc>
      </w:tr>
      <w:tr>
        <w:trPr>
          <w:trHeight w:val="350" w:hRule="exact"/>
        </w:trPr>
        <w:tc>
          <w:tcPr>
            <w:shd w:val="clear" w:color="auto" w:fill="FFFFFF"/>
            <w:tcBorders>
              <w:lef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Высокоплотный</w:t>
            </w:r>
          </w:p>
        </w:tc>
        <w:tc>
          <w:tcPr>
            <w:shd w:val="clear" w:color="auto" w:fill="FFFFFF"/>
            <w:tcBorders>
              <w:lef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От 1,0 (0,5) до 2,5</w:t>
            </w:r>
          </w:p>
        </w:tc>
        <w:tc>
          <w:tcPr>
            <w:shd w:val="clear" w:color="auto" w:fill="FFFFFF"/>
            <w:tcBorders>
              <w:left w:val="single" w:sz="4"/>
              <w:righ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3,0</w:t>
            </w:r>
          </w:p>
        </w:tc>
      </w:tr>
      <w:tr>
        <w:trPr>
          <w:trHeight w:val="307" w:hRule="exact"/>
        </w:trPr>
        <w:tc>
          <w:tcPr>
            <w:shd w:val="clear" w:color="auto" w:fill="FFFFFF"/>
            <w:tcBorders>
              <w:left w:val="single" w:sz="4"/>
            </w:tcBorders>
            <w:vAlign w:val="top"/>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Плотные типов:</w:t>
            </w:r>
          </w:p>
        </w:tc>
        <w:tc>
          <w:tcPr>
            <w:shd w:val="clear" w:color="auto" w:fill="FFFFFF"/>
            <w:tcBorders>
              <w:left w:val="single" w:sz="4"/>
            </w:tcBorders>
            <w:vAlign w:val="top"/>
          </w:tcPr>
          <w:p>
            <w:pPr>
              <w:framePr w:w="9422"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422" w:wrap="notBeside" w:vAnchor="text" w:hAnchor="text" w:xAlign="center" w:y="1"/>
              <w:widowControl w:val="0"/>
              <w:rPr>
                <w:sz w:val="10"/>
                <w:szCs w:val="10"/>
              </w:rPr>
            </w:pPr>
          </w:p>
        </w:tc>
      </w:tr>
      <w:tr>
        <w:trPr>
          <w:trHeight w:val="326" w:hRule="exact"/>
        </w:trPr>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А</w:t>
            </w:r>
          </w:p>
        </w:tc>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 2,0 (1,5)" 5,0</w:t>
            </w:r>
          </w:p>
        </w:tc>
        <w:tc>
          <w:tcPr>
            <w:shd w:val="clear" w:color="auto" w:fill="FFFFFF"/>
            <w:tcBorders>
              <w:left w:val="single" w:sz="4"/>
              <w:righ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5,0</w:t>
            </w:r>
          </w:p>
        </w:tc>
      </w:tr>
      <w:tr>
        <w:trPr>
          <w:trHeight w:val="307" w:hRule="exact"/>
        </w:trPr>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Б, В и Г</w:t>
            </w:r>
          </w:p>
        </w:tc>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 1,5 (1,0) " 4,0</w:t>
            </w:r>
          </w:p>
        </w:tc>
        <w:tc>
          <w:tcPr>
            <w:shd w:val="clear" w:color="auto" w:fill="FFFFFF"/>
            <w:tcBorders>
              <w:left w:val="single" w:sz="4"/>
              <w:righ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4,5</w:t>
            </w:r>
          </w:p>
        </w:tc>
      </w:tr>
      <w:tr>
        <w:trPr>
          <w:trHeight w:val="274" w:hRule="exact"/>
        </w:trPr>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д</w:t>
            </w:r>
          </w:p>
        </w:tc>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 1,0 (0,5) " 4,0</w:t>
            </w:r>
          </w:p>
        </w:tc>
        <w:tc>
          <w:tcPr>
            <w:shd w:val="clear" w:color="auto" w:fill="FFFFFF"/>
            <w:tcBorders>
              <w:left w:val="single" w:sz="4"/>
              <w:right w:val="single" w:sz="4"/>
            </w:tcBorders>
            <w:vAlign w:val="bottom"/>
          </w:tcPr>
          <w:p>
            <w:pPr>
              <w:pStyle w:val="Style10"/>
              <w:framePr w:w="9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7"/>
              </w:rPr>
              <w:t>4,0</w:t>
            </w:r>
          </w:p>
        </w:tc>
      </w:tr>
      <w:tr>
        <w:trPr>
          <w:trHeight w:val="374" w:hRule="exact"/>
        </w:trPr>
        <w:tc>
          <w:tcPr>
            <w:shd w:val="clear" w:color="auto" w:fill="FFFFFF"/>
            <w:tcBorders>
              <w:left w:val="single" w:sz="4"/>
              <w:top w:val="single" w:sz="4"/>
            </w:tcBorders>
            <w:vAlign w:val="bottom"/>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7"/>
              </w:rPr>
              <w:t>Примечания</w:t>
            </w:r>
          </w:p>
        </w:tc>
        <w:tc>
          <w:tcPr>
            <w:shd w:val="clear" w:color="auto" w:fill="FFFFFF"/>
            <w:tcBorders>
              <w:top w:val="single" w:sz="4"/>
            </w:tcBorders>
            <w:vAlign w:val="top"/>
          </w:tcPr>
          <w:p>
            <w:pPr>
              <w:framePr w:w="9422"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22" w:wrap="notBeside" w:vAnchor="text" w:hAnchor="text" w:xAlign="center" w:y="1"/>
              <w:widowControl w:val="0"/>
              <w:rPr>
                <w:sz w:val="10"/>
                <w:szCs w:val="10"/>
              </w:rPr>
            </w:pPr>
          </w:p>
        </w:tc>
      </w:tr>
      <w:tr>
        <w:trPr>
          <w:trHeight w:val="302" w:hRule="exact"/>
        </w:trPr>
        <w:tc>
          <w:tcPr>
            <w:shd w:val="clear" w:color="auto" w:fill="FFFFFF"/>
            <w:gridSpan w:val="3"/>
            <w:tcBorders>
              <w:left w:val="single" w:sz="4"/>
              <w:right w:val="single" w:sz="4"/>
            </w:tcBorders>
            <w:vAlign w:val="top"/>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7"/>
              </w:rPr>
              <w:t>1 В скобках приведены значения водонасыщения для образцов из переформованных</w:t>
            </w:r>
          </w:p>
        </w:tc>
      </w:tr>
      <w:tr>
        <w:trPr>
          <w:trHeight w:val="322" w:hRule="exact"/>
        </w:trPr>
        <w:tc>
          <w:tcPr>
            <w:shd w:val="clear" w:color="auto" w:fill="FFFFFF"/>
            <w:tcBorders>
              <w:left w:val="single" w:sz="4"/>
            </w:tcBorders>
            <w:vAlign w:val="bottom"/>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27"/>
              </w:rPr>
              <w:t>вырубок</w:t>
            </w:r>
          </w:p>
        </w:tc>
        <w:tc>
          <w:tcPr>
            <w:shd w:val="clear" w:color="auto" w:fill="FFFFFF"/>
            <w:tcBorders/>
            <w:vAlign w:val="bottom"/>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1840" w:right="0" w:firstLine="0"/>
            </w:pPr>
            <w:r>
              <w:rPr>
                <w:rStyle w:val="CharStyle27"/>
              </w:rPr>
              <w:t>и</w:t>
            </w:r>
          </w:p>
        </w:tc>
        <w:tc>
          <w:tcPr>
            <w:shd w:val="clear" w:color="auto" w:fill="FFFFFF"/>
            <w:tcBorders>
              <w:right w:val="single" w:sz="4"/>
            </w:tcBorders>
            <w:vAlign w:val="bottom"/>
          </w:tcPr>
          <w:p>
            <w:pPr>
              <w:pStyle w:val="Style10"/>
              <w:framePr w:w="9422" w:wrap="notBeside" w:vAnchor="text" w:hAnchor="text" w:xAlign="center" w:y="1"/>
              <w:widowControl w:val="0"/>
              <w:keepNext w:val="0"/>
              <w:keepLines w:val="0"/>
              <w:shd w:val="clear" w:color="auto" w:fill="auto"/>
              <w:bidi w:val="0"/>
              <w:jc w:val="right"/>
              <w:spacing w:before="0" w:after="0" w:line="230" w:lineRule="exact"/>
              <w:ind w:left="0" w:right="120" w:firstLine="0"/>
            </w:pPr>
            <w:r>
              <w:rPr>
                <w:rStyle w:val="CharStyle27"/>
              </w:rPr>
              <w:t>кернов.</w:t>
            </w:r>
          </w:p>
        </w:tc>
      </w:tr>
      <w:tr>
        <w:trPr>
          <w:trHeight w:val="336" w:hRule="exact"/>
        </w:trPr>
        <w:tc>
          <w:tcPr>
            <w:shd w:val="clear" w:color="auto" w:fill="FFFFFF"/>
            <w:gridSpan w:val="3"/>
            <w:tcBorders>
              <w:left w:val="single" w:sz="4"/>
              <w:right w:val="single" w:sz="4"/>
            </w:tcBorders>
            <w:vAlign w:val="top"/>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7"/>
              </w:rPr>
              <w:t>2 Показатели водонасыщения асфальтобетонов, применяемых в конкретных дорожно</w:t>
              <w:softHyphen/>
            </w:r>
          </w:p>
        </w:tc>
      </w:tr>
      <w:tr>
        <w:trPr>
          <w:trHeight w:val="259" w:hRule="exact"/>
        </w:trPr>
        <w:tc>
          <w:tcPr>
            <w:shd w:val="clear" w:color="auto" w:fill="FFFFFF"/>
            <w:gridSpan w:val="3"/>
            <w:tcBorders>
              <w:left w:val="single" w:sz="4"/>
              <w:right w:val="single" w:sz="4"/>
              <w:bottom w:val="single" w:sz="4"/>
            </w:tcBorders>
            <w:vAlign w:val="bottom"/>
          </w:tcPr>
          <w:p>
            <w:pPr>
              <w:pStyle w:val="Style10"/>
              <w:framePr w:w="9422" w:wrap="notBeside" w:vAnchor="text" w:hAnchor="text" w:xAlign="center" w:y="1"/>
              <w:widowControl w:val="0"/>
              <w:keepNext w:val="0"/>
              <w:keepLines w:val="0"/>
              <w:shd w:val="clear" w:color="auto" w:fill="auto"/>
              <w:bidi w:val="0"/>
              <w:jc w:val="left"/>
              <w:spacing w:before="0" w:after="0" w:line="230" w:lineRule="exact"/>
              <w:ind w:left="80" w:right="0" w:firstLine="0"/>
            </w:pPr>
            <w:r>
              <w:rPr>
                <w:rStyle w:val="CharStyle27"/>
              </w:rPr>
              <w:t>климатических условиях, могут уточняться в проектной документации на строительство.</w:t>
            </w:r>
          </w:p>
        </w:tc>
      </w:tr>
    </w:tbl>
    <w:p>
      <w:pPr>
        <w:widowControl w:val="0"/>
        <w:rPr>
          <w:sz w:val="2"/>
          <w:szCs w:val="2"/>
        </w:rPr>
      </w:pPr>
    </w:p>
    <w:p>
      <w:pPr>
        <w:pStyle w:val="Style10"/>
        <w:widowControl w:val="0"/>
        <w:keepNext w:val="0"/>
        <w:keepLines w:val="0"/>
        <w:shd w:val="clear" w:color="auto" w:fill="auto"/>
        <w:bidi w:val="0"/>
        <w:jc w:val="both"/>
        <w:spacing w:before="0" w:after="0" w:line="264" w:lineRule="exact"/>
        <w:ind w:left="20" w:right="240" w:firstLine="720"/>
      </w:pPr>
      <w:r>
        <w:rPr>
          <w:lang w:val="ru-RU" w:eastAsia="ru-RU" w:bidi="ru-RU"/>
          <w:w w:val="100"/>
          <w:spacing w:val="0"/>
          <w:color w:val="000000"/>
          <w:position w:val="0"/>
        </w:rPr>
        <w:t>Пористость минеральной части асфальтобетонов из горячих смесей установлена пунктом 4.1.11 и должна быть:</w:t>
      </w:r>
    </w:p>
    <w:p>
      <w:pPr>
        <w:pStyle w:val="Style10"/>
        <w:numPr>
          <w:ilvl w:val="0"/>
          <w:numId w:val="5"/>
        </w:numPr>
        <w:tabs>
          <w:tab w:leader="none" w:pos="6761" w:val="center"/>
          <w:tab w:leader="none" w:pos="6775" w:val="center"/>
          <w:tab w:leader="none" w:pos="7622" w:val="right"/>
        </w:tabs>
        <w:widowControl w:val="0"/>
        <w:keepNext w:val="0"/>
        <w:keepLines w:val="0"/>
        <w:shd w:val="clear" w:color="auto" w:fill="auto"/>
        <w:bidi w:val="0"/>
        <w:jc w:val="both"/>
        <w:spacing w:before="0" w:after="0" w:line="230" w:lineRule="exact"/>
        <w:ind w:left="180" w:right="0" w:firstLine="0"/>
      </w:pPr>
      <w:r>
        <w:rPr>
          <w:lang w:val="ru-RU" w:eastAsia="ru-RU" w:bidi="ru-RU"/>
          <w:w w:val="100"/>
          <w:spacing w:val="0"/>
          <w:color w:val="000000"/>
          <w:position w:val="0"/>
        </w:rPr>
        <w:t xml:space="preserve"> высокоплотных</w:t>
        <w:tab/>
        <w:t>не</w:t>
        <w:tab/>
        <w:t>более</w:t>
        <w:tab/>
        <w:t>16%;</w:t>
      </w:r>
    </w:p>
    <w:p>
      <w:pPr>
        <w:pStyle w:val="Style10"/>
        <w:numPr>
          <w:ilvl w:val="0"/>
          <w:numId w:val="5"/>
        </w:numPr>
        <w:widowControl w:val="0"/>
        <w:keepNext w:val="0"/>
        <w:keepLines w:val="0"/>
        <w:shd w:val="clear" w:color="auto" w:fill="auto"/>
        <w:bidi w:val="0"/>
        <w:jc w:val="both"/>
        <w:spacing w:before="0" w:after="0" w:line="322" w:lineRule="exact"/>
        <w:ind w:left="180" w:right="0" w:firstLine="0"/>
      </w:pPr>
      <w:r>
        <w:rPr>
          <w:lang w:val="ru-RU" w:eastAsia="ru-RU" w:bidi="ru-RU"/>
          <w:w w:val="100"/>
          <w:spacing w:val="0"/>
          <w:color w:val="000000"/>
          <w:position w:val="0"/>
        </w:rPr>
        <w:t xml:space="preserve"> плотных типов:</w:t>
      </w:r>
    </w:p>
    <w:p>
      <w:pPr>
        <w:pStyle w:val="Style6"/>
        <w:tabs>
          <w:tab w:leader="none" w:pos="6425" w:val="right"/>
          <w:tab w:leader="none" w:pos="6761" w:val="center"/>
          <w:tab w:leader="none" w:pos="7889" w:val="right"/>
        </w:tabs>
        <w:widowControl w:val="0"/>
        <w:keepNext w:val="0"/>
        <w:keepLines w:val="0"/>
        <w:shd w:val="clear" w:color="auto" w:fill="auto"/>
        <w:bidi w:val="0"/>
        <w:jc w:val="both"/>
        <w:spacing w:before="0" w:after="0" w:line="322" w:lineRule="exact"/>
        <w:ind w:left="180" w:right="0" w:firstLine="0"/>
      </w:pPr>
      <w:r>
        <w:rPr>
          <w:rStyle w:val="CharStyle32"/>
          <w:b w:val="0"/>
          <w:bCs w:val="0"/>
        </w:rPr>
        <w:t xml:space="preserve">А и </w:t>
      </w:r>
      <w:r>
        <w:rPr>
          <w:lang w:val="ru-RU" w:eastAsia="ru-RU" w:bidi="ru-RU"/>
          <w:w w:val="100"/>
          <w:spacing w:val="0"/>
          <w:color w:val="000000"/>
          <w:position w:val="0"/>
        </w:rPr>
        <w:t>Б</w:t>
        <w:tab/>
        <w:t>от</w:t>
        <w:tab/>
        <w:t>14%</w:t>
        <w:tab/>
        <w:t>до 19%;</w:t>
      </w:r>
    </w:p>
    <w:p>
      <w:pPr>
        <w:pStyle w:val="Style10"/>
        <w:tabs>
          <w:tab w:leader="none" w:pos="6425" w:val="right"/>
          <w:tab w:leader="none" w:pos="6761" w:val="center"/>
          <w:tab w:leader="none" w:pos="7622" w:val="right"/>
        </w:tabs>
        <w:widowControl w:val="0"/>
        <w:keepNext w:val="0"/>
        <w:keepLines w:val="0"/>
        <w:shd w:val="clear" w:color="auto" w:fill="auto"/>
        <w:bidi w:val="0"/>
        <w:jc w:val="both"/>
        <w:spacing w:before="0" w:after="0" w:line="322" w:lineRule="exact"/>
        <w:ind w:left="180" w:right="0" w:firstLine="0"/>
      </w:pPr>
      <w:r>
        <w:rPr>
          <w:lang w:val="ru-RU" w:eastAsia="ru-RU" w:bidi="ru-RU"/>
          <w:w w:val="100"/>
          <w:spacing w:val="0"/>
          <w:color w:val="000000"/>
          <w:position w:val="0"/>
        </w:rPr>
        <w:t>В, Г и Д</w:t>
        <w:tab/>
        <w:t>не</w:t>
        <w:tab/>
        <w:t>более</w:t>
        <w:tab/>
        <w:t>22%;</w:t>
      </w:r>
    </w:p>
    <w:p>
      <w:pPr>
        <w:pStyle w:val="Style10"/>
        <w:widowControl w:val="0"/>
        <w:keepNext w:val="0"/>
        <w:keepLines w:val="0"/>
        <w:shd w:val="clear" w:color="auto" w:fill="auto"/>
        <w:bidi w:val="0"/>
        <w:jc w:val="both"/>
        <w:spacing w:before="0" w:after="0" w:line="269" w:lineRule="exact"/>
        <w:ind w:left="20" w:right="240" w:firstLine="720"/>
      </w:pPr>
      <w:r>
        <w:rPr>
          <w:lang w:val="ru-RU" w:eastAsia="ru-RU" w:bidi="ru-RU"/>
          <w:w w:val="100"/>
          <w:spacing w:val="0"/>
          <w:color w:val="000000"/>
          <w:position w:val="0"/>
        </w:rPr>
        <w:t>Комиссия Архангельского У ФАС России, проанализировав материалы дела, приходит к выводу о том, что Заказчик технические характеристики поставляемой «Смеси асфальтобетонной» установил в соответствии с ГОСТ 9128-2013, что не противоречит ФЗ «О контрактной системе».</w:t>
      </w:r>
    </w:p>
    <w:p>
      <w:pPr>
        <w:pStyle w:val="Style10"/>
        <w:widowControl w:val="0"/>
        <w:keepNext w:val="0"/>
        <w:keepLines w:val="0"/>
        <w:shd w:val="clear" w:color="auto" w:fill="auto"/>
        <w:bidi w:val="0"/>
        <w:jc w:val="both"/>
        <w:spacing w:before="0" w:after="0" w:line="269" w:lineRule="exact"/>
        <w:ind w:left="20" w:right="240" w:firstLine="720"/>
      </w:pPr>
      <w:r>
        <w:rPr>
          <w:lang w:val="ru-RU" w:eastAsia="ru-RU" w:bidi="ru-RU"/>
          <w:w w:val="100"/>
          <w:spacing w:val="0"/>
          <w:color w:val="000000"/>
          <w:position w:val="0"/>
        </w:rPr>
        <w:t>Вместе с тем, Комиссией Архангельского У ФАС России был проанализирован ГОСТ Р53172-2008 «Дороги автомобильные общего пользования. Изделия для дорожной разметки. Микростеклошарики. Технические требования» и установлено, что характеристики микросфер стеклянных для дорожной разметки, а именно: прочность на сжатие не менее 700 МПа*, содержание сферичных частиц более 80%*, технологические остатки (примеси) не более 1 %*, температура деформации более 500 °С* отсутствуют данном ГОСТе.</w:t>
      </w:r>
    </w:p>
    <w:p>
      <w:pPr>
        <w:pStyle w:val="Style10"/>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В ГОСТ 6665-91 «Камни бетонные и железобетонные бортовые» отсутствует такая характеристика бортового камня как «Класс бетона по прочности на растяжении при изгибе не менее чем В4».</w:t>
      </w:r>
    </w:p>
    <w:p>
      <w:pPr>
        <w:pStyle w:val="Style10"/>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В документации об аукционе отсутствует обоснование необходимости использования вышеуказанных показателей. Представитель Заказчика в заседание Комиссии Архангельского УФАС России не смог пояснить из какого ГОСТа были взяты данные характеристики.</w:t>
      </w:r>
    </w:p>
    <w:p>
      <w:pPr>
        <w:pStyle w:val="Style10"/>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Следовательно, заказчик при описании объекта закупки использует нестандартные показатели и не сопровождает их надлежащим обоснованием.</w:t>
      </w:r>
    </w:p>
    <w:p>
      <w:pPr>
        <w:pStyle w:val="Style6"/>
        <w:widowControl w:val="0"/>
        <w:keepNext w:val="0"/>
        <w:keepLines w:val="0"/>
        <w:shd w:val="clear" w:color="auto" w:fill="auto"/>
        <w:bidi w:val="0"/>
        <w:jc w:val="both"/>
        <w:spacing w:before="0" w:after="56" w:line="269" w:lineRule="exact"/>
        <w:ind w:left="20" w:right="20" w:firstLine="720"/>
      </w:pPr>
      <w:r>
        <w:rPr>
          <w:lang w:val="ru-RU" w:eastAsia="ru-RU" w:bidi="ru-RU"/>
          <w:w w:val="100"/>
          <w:spacing w:val="0"/>
          <w:color w:val="000000"/>
          <w:position w:val="0"/>
        </w:rPr>
        <w:t>Таким образом, Заказчик нарушил пункт 2 части 1 статьи 33 ФЗ «О контрактной системе».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статьи 34 ФЗ «О контрактной системе»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частям 5, 8 статьи 34 ФЗ «О контрактной системе» штрафы начисляются за ненадлежащее исполнение заказчиком и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со статьей 34 ФЗ «О контрактной системе» постановлением Правительства РФ от 30 августа 2017 года № 1042 утверждены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3 Правил указывает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9 Правил указывает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10"/>
        <w:widowControl w:val="0"/>
        <w:keepNext w:val="0"/>
        <w:keepLines w:val="0"/>
        <w:shd w:val="clear" w:color="auto" w:fill="auto"/>
        <w:bidi w:val="0"/>
        <w:jc w:val="both"/>
        <w:spacing w:before="0" w:after="56" w:line="283" w:lineRule="exact"/>
        <w:ind w:left="20" w:right="20" w:firstLine="72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10"/>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Заказчиком определена начальная (максимальная) цена контракта в размере 34 000 000,00 руб.</w:t>
      </w:r>
    </w:p>
    <w:p>
      <w:pPr>
        <w:pStyle w:val="Style10"/>
        <w:tabs>
          <w:tab w:leader="none" w:pos="6538"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Пунктом 7.2 проекта контракта установлено:</w:t>
        <w:tab/>
        <w:t>«штрафы начисляются за</w:t>
      </w:r>
    </w:p>
    <w:p>
      <w:pPr>
        <w:pStyle w:val="Style1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25 ноября 2013</w:t>
      </w:r>
    </w:p>
    <w:p>
      <w:pPr>
        <w:pStyle w:val="Style10"/>
        <w:tabs>
          <w:tab w:leader="underscore" w:pos="9582" w:val="lef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 xml:space="preserve">года № 1063 (далее - Правила), в виде фиксированной суммы в размере </w:t>
        <w:tab/>
      </w:r>
    </w:p>
    <w:p>
      <w:pPr>
        <w:pStyle w:val="Style10"/>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(сумма прописью) рублей копеек в зависимости от цены Контракта:</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-2,5 процента Цены Контракта в случае, если Цена Контракта не превышает 3 (трех) млн. руб.;</w:t>
      </w:r>
    </w:p>
    <w:p>
      <w:pPr>
        <w:pStyle w:val="Style10"/>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2 процента Цены Контракта в случае, если Цена Контракта составляет от 3 (трех) млн. рублей до 50 (пятидесяти) млн. рублей...».</w:t>
      </w:r>
    </w:p>
    <w:p>
      <w:pPr>
        <w:pStyle w:val="Style10"/>
        <w:tabs>
          <w:tab w:leader="none" w:pos="7038" w:val="center"/>
          <w:tab w:leader="none" w:pos="7792" w:val="left"/>
        </w:tabs>
        <w:widowControl w:val="0"/>
        <w:keepNext w:val="0"/>
        <w:keepLines w:val="0"/>
        <w:shd w:val="clear" w:color="auto" w:fill="auto"/>
        <w:bidi w:val="0"/>
        <w:jc w:val="both"/>
        <w:spacing w:before="0" w:after="0" w:line="274" w:lineRule="exact"/>
        <w:ind w:left="40" w:right="0" w:firstLine="720"/>
      </w:pPr>
      <w:r>
        <w:rPr>
          <w:lang w:val="ru-RU" w:eastAsia="ru-RU" w:bidi="ru-RU"/>
          <w:w w:val="100"/>
          <w:spacing w:val="0"/>
          <w:color w:val="000000"/>
          <w:position w:val="0"/>
        </w:rPr>
        <w:t>Пунктом 7.5. проекта контракта установлено:</w:t>
        <w:tab/>
        <w:t>«штрафы</w:t>
        <w:tab/>
        <w:t>начисляются за</w:t>
      </w:r>
    </w:p>
    <w:p>
      <w:pPr>
        <w:pStyle w:val="Style10"/>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соответствии с Правилами в виде фиксированной суммы</w:t>
      </w:r>
    </w:p>
    <w:p>
      <w:pPr>
        <w:pStyle w:val="Style10"/>
        <w:tabs>
          <w:tab w:leader="underscore" w:pos="3429" w:val="right"/>
          <w:tab w:leader="none" w:pos="3580" w:val="left"/>
        </w:tabs>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в размере</w:t>
        <w:tab/>
        <w:t>(сумма</w:t>
        <w:tab/>
        <w:t>прописью) рубль копеек ) в зависимости от цены</w:t>
      </w:r>
    </w:p>
    <w:p>
      <w:pPr>
        <w:pStyle w:val="Style10"/>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Контракта:</w:t>
      </w:r>
    </w:p>
    <w:p>
      <w:pPr>
        <w:pStyle w:val="Style10"/>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10 процентов Цены Контракта в случае, если Цена Контракта не превышает 3 (трех) млн. руб.;</w:t>
      </w:r>
    </w:p>
    <w:p>
      <w:pPr>
        <w:pStyle w:val="Style10"/>
        <w:numPr>
          <w:ilvl w:val="0"/>
          <w:numId w:val="5"/>
        </w:numPr>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 5 процентов Цены Контракта в случае, если Цена Контракта составляет от 3 (трех) млн. рублей до 50 (пятидесяти) млн. рублей...».</w:t>
      </w:r>
    </w:p>
    <w:p>
      <w:pPr>
        <w:pStyle w:val="Style10"/>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Следовательно, в проекте контракта размер штрафов установлен не в соответствии с требованиями ФЗ «О контрактной системе».</w:t>
      </w:r>
    </w:p>
    <w:p>
      <w:pPr>
        <w:pStyle w:val="Style6"/>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Заказчик нарушил часть 5 и 8 статьи 34 ФЗ «О контрактной системе».</w:t>
      </w:r>
    </w:p>
    <w:p>
      <w:pPr>
        <w:pStyle w:val="Style10"/>
        <w:widowControl w:val="0"/>
        <w:keepNext w:val="0"/>
        <w:keepLines w:val="0"/>
        <w:shd w:val="clear" w:color="auto" w:fill="auto"/>
        <w:bidi w:val="0"/>
        <w:jc w:val="both"/>
        <w:spacing w:before="0" w:after="95" w:line="274" w:lineRule="exact"/>
        <w:ind w:left="40" w:right="40" w:firstLine="720"/>
      </w:pPr>
      <w:r>
        <w:rPr>
          <w:lang w:val="ru-RU" w:eastAsia="ru-RU" w:bidi="ru-RU"/>
          <w:w w:val="100"/>
          <w:spacing w:val="0"/>
          <w:color w:val="000000"/>
          <w:position w:val="0"/>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6"/>
        <w:widowControl w:val="0"/>
        <w:keepNext w:val="0"/>
        <w:keepLines w:val="0"/>
        <w:shd w:val="clear" w:color="auto" w:fill="auto"/>
        <w:bidi w:val="0"/>
        <w:jc w:val="left"/>
        <w:spacing w:before="0" w:after="92" w:line="230" w:lineRule="exact"/>
        <w:ind w:left="4580" w:right="0" w:firstLine="0"/>
      </w:pPr>
      <w:r>
        <w:rPr>
          <w:lang w:val="ru-RU" w:eastAsia="ru-RU" w:bidi="ru-RU"/>
          <w:w w:val="100"/>
          <w:spacing w:val="0"/>
          <w:color w:val="000000"/>
          <w:position w:val="0"/>
        </w:rPr>
        <w:t>РЕШИЛА:</w:t>
      </w:r>
    </w:p>
    <w:p>
      <w:pPr>
        <w:pStyle w:val="Style10"/>
        <w:numPr>
          <w:ilvl w:val="0"/>
          <w:numId w:val="7"/>
        </w:numPr>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 xml:space="preserve"> Признать жалобу ООО "Профит-плюс" обоснованной.</w:t>
      </w:r>
    </w:p>
    <w:p>
      <w:pPr>
        <w:pStyle w:val="Style10"/>
        <w:numPr>
          <w:ilvl w:val="0"/>
          <w:numId w:val="7"/>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Признать Заказчика - Управление строительства, архитектуры и жилищно- коммунального хозяйства администрация муниципального образования «Няндомский муниципальный район», нарушившим пункт 2 части 1 статьи 33, часть 5 и 8 статьи 34 ФЗ «О контрактной системе».</w:t>
      </w:r>
    </w:p>
    <w:p>
      <w:pPr>
        <w:pStyle w:val="Style10"/>
        <w:numPr>
          <w:ilvl w:val="0"/>
          <w:numId w:val="7"/>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Заказчику, единой комиссии, созданной Заказчиком (далее - единая комиссия), оператору электронной площадки - АО «Единая электронная торговая площадка» (далее - Оператор электронной площадки) выдать предписание об устранении выявленных нарушений ФЗ «О контрактной системе», а именно:</w:t>
      </w:r>
    </w:p>
    <w:p>
      <w:pPr>
        <w:pStyle w:val="Style10"/>
        <w:numPr>
          <w:ilvl w:val="1"/>
          <w:numId w:val="7"/>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Заказчику, единой комиссии отменить протокол рассмотрения единственной заявки на участие в электронном аукционе от 09.11.2017. Разместить информацию об отмене указанного протокола на сайте электронной площадки.</w:t>
      </w:r>
    </w:p>
    <w:p>
      <w:pPr>
        <w:pStyle w:val="Style10"/>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Оператору электронной площадки обеспечить Заказчику, единой комиссии возможность исполнения пункта 3.1 настоящего решения (предписания).</w:t>
      </w:r>
    </w:p>
    <w:p>
      <w:pPr>
        <w:pStyle w:val="Style10"/>
        <w:numPr>
          <w:ilvl w:val="1"/>
          <w:numId w:val="7"/>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3.1 настоящего решения (предписания):</w:t>
      </w:r>
    </w:p>
    <w:p>
      <w:pPr>
        <w:pStyle w:val="Style10"/>
        <w:numPr>
          <w:ilvl w:val="0"/>
          <w:numId w:val="5"/>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вернуть заявки участникам закупки, подавшим заявки на участие в электронном аукционе на право заключения муниципального контракта на выполнение работ по содержанию улиц, площадей, внутрихозяйственных дорог и объектов регулирования дорожного движения МО «Няндомское» (извещение № 0124300031517000033);</w:t>
      </w:r>
    </w:p>
    <w:p>
      <w:pPr>
        <w:pStyle w:val="Style10"/>
        <w:numPr>
          <w:ilvl w:val="0"/>
          <w:numId w:val="5"/>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уведомить участников закупки, подавших заявки на участие в аукционе, о возможности подачи заявок на участие в электронном аукционе вновь;</w:t>
      </w:r>
    </w:p>
    <w:p>
      <w:pPr>
        <w:pStyle w:val="Style10"/>
        <w:numPr>
          <w:ilvl w:val="0"/>
          <w:numId w:val="5"/>
        </w:numPr>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10"/>
        <w:numPr>
          <w:ilvl w:val="1"/>
          <w:numId w:val="7"/>
        </w:numPr>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 Заказчику в документацию об электронном аукционе и в извещение внести изменения в соответствии с требованиями действующего законодательства РФ; продлить срок подачи заявок на участие в электронном аукционе на право заключения муниципального контракта на выполнение работ по содержанию улиц, площадей, внутрихозяйственных дорог и объектов регулирования дорожного движения МО «Няндомское» (извещение №0124300031517000033) на срок </w:t>
      </w:r>
      <w:r>
        <w:rPr>
          <w:rStyle w:val="CharStyle21"/>
        </w:rPr>
        <w:t xml:space="preserve">не менее 15 дней </w:t>
      </w:r>
      <w:r>
        <w:rPr>
          <w:lang w:val="ru-RU" w:eastAsia="ru-RU" w:bidi="ru-RU"/>
          <w:w w:val="100"/>
          <w:spacing w:val="0"/>
          <w:color w:val="000000"/>
          <w:position w:val="0"/>
        </w:rPr>
        <w:t>с момента размещения на официальном сайте указанных изменений; установить дату окончания срока рассмотрения заявок на участие в электронном аукционе и дату проведения электронного аукциона в соответствии с действующим законодательством.</w:t>
      </w:r>
    </w:p>
    <w:p>
      <w:pPr>
        <w:pStyle w:val="Style10"/>
        <w:numPr>
          <w:ilvl w:val="1"/>
          <w:numId w:val="7"/>
        </w:numPr>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3.3 настоящего решения (предписания) назначить время проведения электронного аукциона и уведомить участников закупки, подавших заявки на участие в аукционе, о новой дате окончания рассмотрения первых частей заявок на участие в электронном аукционе, дате и времени проведения аукциона.</w:t>
      </w:r>
    </w:p>
    <w:p>
      <w:pPr>
        <w:pStyle w:val="Style10"/>
        <w:numPr>
          <w:ilvl w:val="0"/>
          <w:numId w:val="9"/>
        </w:numPr>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 Заказчику, единой комиссии исполнить пункты 3.1, 3.3 настоящего решения (предписания) </w:t>
      </w:r>
      <w:r>
        <w:rPr>
          <w:rStyle w:val="CharStyle21"/>
        </w:rPr>
        <w:t xml:space="preserve">в срок до 08 декабря 2017 года </w:t>
      </w:r>
      <w:r>
        <w:rPr>
          <w:lang w:val="ru-RU" w:eastAsia="ru-RU" w:bidi="ru-RU"/>
          <w:w w:val="100"/>
          <w:spacing w:val="0"/>
          <w:color w:val="000000"/>
          <w:position w:val="0"/>
        </w:rPr>
        <w:t xml:space="preserve">и в тот же срок сообщить об исполнении настоящего решения (предписания) в Архангельское УФАС России в письменном виде, по факсу (8182) 21-54-45, либо на адрес электронной почты </w:t>
      </w:r>
      <w:r>
        <w:fldChar w:fldCharType="begin"/>
      </w:r>
      <w:r>
        <w:rPr>
          <w:rStyle w:val="CharStyle33"/>
        </w:rPr>
        <w:instrText> HYPERLINK "mailto:to29@fas.gov.ru" </w:instrText>
      </w:r>
      <w:r>
        <w:fldChar w:fldCharType="separate"/>
      </w:r>
      <w:r>
        <w:rPr>
          <w:rStyle w:val="Hyperlink"/>
        </w:rPr>
        <w:t>to29@fas.gov.ru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приложением подтверждающих документов.</w:t>
      </w:r>
    </w:p>
    <w:p>
      <w:pPr>
        <w:pStyle w:val="Style10"/>
        <w:numPr>
          <w:ilvl w:val="0"/>
          <w:numId w:val="9"/>
        </w:numPr>
        <w:widowControl w:val="0"/>
        <w:keepNext w:val="0"/>
        <w:keepLines w:val="0"/>
        <w:shd w:val="clear" w:color="auto" w:fill="auto"/>
        <w:bidi w:val="0"/>
        <w:jc w:val="both"/>
        <w:spacing w:before="0" w:after="455" w:line="269" w:lineRule="exact"/>
        <w:ind w:left="40" w:right="20" w:firstLine="720"/>
      </w:pPr>
      <w:r>
        <w:rPr>
          <w:lang w:val="ru-RU" w:eastAsia="ru-RU" w:bidi="ru-RU"/>
          <w:w w:val="100"/>
          <w:spacing w:val="0"/>
          <w:color w:val="000000"/>
          <w:position w:val="0"/>
        </w:rPr>
        <w:t xml:space="preserve"> Передать материалы дела должностному лицу Архангельского УФАС России для принятия решения о возбуждении дела об административном правонарушении.</w:t>
      </w:r>
    </w:p>
    <w:p>
      <w:pPr>
        <w:pStyle w:val="Style34"/>
        <w:widowControl w:val="0"/>
        <w:keepNext w:val="0"/>
        <w:keepLines w:val="0"/>
        <w:shd w:val="clear" w:color="auto" w:fill="auto"/>
        <w:bidi w:val="0"/>
        <w:spacing w:before="0" w:after="0"/>
        <w:ind w:left="40" w:right="20" w:firstLine="0"/>
      </w:pPr>
      <w:r>
        <w:rPr>
          <w:rStyle w:val="CharStyle36"/>
          <w:i/>
          <w:iCs/>
        </w:rPr>
        <w:t>Примечание.</w:t>
      </w:r>
      <w:r>
        <w:rPr>
          <w:rStyle w:val="CharStyle37"/>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jc w:val="left"/>
        <w:spacing w:before="0" w:after="0" w:line="542" w:lineRule="exact"/>
        <w:ind w:left="40" w:right="2300" w:firstLine="0"/>
      </w:pPr>
      <w:r>
        <w:rPr>
          <w:lang w:val="ru-RU" w:eastAsia="ru-RU" w:bidi="ru-RU"/>
          <w:w w:val="100"/>
          <w:spacing w:val="0"/>
          <w:color w:val="000000"/>
          <w:position w:val="0"/>
        </w:rPr>
        <w:t>Председатель Комиссии Члены Комиссии</w:t>
      </w:r>
    </w:p>
    <w:sectPr>
      <w:type w:val="continuous"/>
      <w:pgSz w:w="11906" w:h="16838"/>
      <w:pgMar w:top="876" w:left="987" w:right="963" w:bottom="5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5"/>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2)"/>
    <w:basedOn w:val="CharStyle4"/>
    <w:rPr>
      <w:lang w:val="ru-RU" w:eastAsia="ru-RU" w:bidi="ru-RU"/>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13">
    <w:name w:val="Основной текст Exact"/>
    <w:basedOn w:val="CharStyle11"/>
    <w:rPr>
      <w:lang w:val="ru-RU" w:eastAsia="ru-RU" w:bidi="ru-RU"/>
      <w:sz w:val="21"/>
      <w:szCs w:val="21"/>
      <w:w w:val="100"/>
      <w:spacing w:val="1"/>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6"/>
      <w:szCs w:val="16"/>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7">
    <w:name w:val="Основной текст"/>
    <w:basedOn w:val="CharStyle11"/>
    <w:rPr>
      <w:lang w:val="ru-RU" w:eastAsia="ru-RU" w:bidi="ru-RU"/>
      <w:w w:val="100"/>
      <w:spacing w:val="0"/>
      <w:color w:val="000000"/>
      <w:position w:val="0"/>
    </w:rPr>
  </w:style>
  <w:style w:type="character" w:customStyle="1" w:styleId="CharStyle18">
    <w:name w:val="Основной текст + 10 pt,Полужирный"/>
    <w:basedOn w:val="CharStyle11"/>
    <w:rPr>
      <w:lang w:val="ru-RU" w:eastAsia="ru-RU" w:bidi="ru-RU"/>
      <w:b/>
      <w:bCs/>
      <w:u w:val="single"/>
      <w:sz w:val="20"/>
      <w:szCs w:val="20"/>
      <w:w w:val="100"/>
      <w:spacing w:val="0"/>
      <w:color w:val="000000"/>
      <w:position w:val="0"/>
    </w:rPr>
  </w:style>
  <w:style w:type="character" w:customStyle="1" w:styleId="CharStyle19">
    <w:name w:val="Основной текст (3)"/>
    <w:basedOn w:val="CharStyle7"/>
    <w:rPr>
      <w:lang w:val="ru-RU" w:eastAsia="ru-RU" w:bidi="ru-RU"/>
      <w:u w:val="single"/>
      <w:w w:val="100"/>
      <w:spacing w:val="0"/>
      <w:color w:val="000000"/>
      <w:position w:val="0"/>
    </w:rPr>
  </w:style>
  <w:style w:type="character" w:customStyle="1" w:styleId="CharStyle20">
    <w:name w:val="Основной текст + Полужирный"/>
    <w:basedOn w:val="CharStyle11"/>
    <w:rPr>
      <w:lang w:val="ru-RU" w:eastAsia="ru-RU" w:bidi="ru-RU"/>
      <w:b/>
      <w:bCs/>
      <w:u w:val="single"/>
      <w:w w:val="100"/>
      <w:spacing w:val="0"/>
      <w:color w:val="000000"/>
      <w:position w:val="0"/>
    </w:rPr>
  </w:style>
  <w:style w:type="character" w:customStyle="1" w:styleId="CharStyle21">
    <w:name w:val="Основной текст + Полужирный"/>
    <w:basedOn w:val="CharStyle11"/>
    <w:rPr>
      <w:lang w:val="ru-RU" w:eastAsia="ru-RU" w:bidi="ru-RU"/>
      <w:b/>
      <w:bCs/>
      <w:w w:val="100"/>
      <w:spacing w:val="0"/>
      <w:color w:val="000000"/>
      <w:position w:val="0"/>
    </w:rPr>
  </w:style>
  <w:style w:type="character" w:customStyle="1" w:styleId="CharStyle22">
    <w:name w:val="Основной текст + Курсив"/>
    <w:basedOn w:val="CharStyle11"/>
    <w:rPr>
      <w:lang w:val="ru-RU" w:eastAsia="ru-RU" w:bidi="ru-RU"/>
      <w:i/>
      <w:iCs/>
      <w:w w:val="100"/>
      <w:spacing w:val="0"/>
      <w:color w:val="000000"/>
      <w:position w:val="0"/>
    </w:rPr>
  </w:style>
  <w:style w:type="character" w:customStyle="1" w:styleId="CharStyle24">
    <w:name w:val="Основной текст (5)_"/>
    <w:basedOn w:val="DefaultParagraphFont"/>
    <w:link w:val="Style23"/>
    <w:rPr>
      <w:b w:val="0"/>
      <w:bCs w:val="0"/>
      <w:i/>
      <w:iCs/>
      <w:u w:val="none"/>
      <w:strike w:val="0"/>
      <w:smallCaps w:val="0"/>
      <w:sz w:val="23"/>
      <w:szCs w:val="23"/>
      <w:rFonts w:ascii="Times New Roman" w:eastAsia="Times New Roman" w:hAnsi="Times New Roman" w:cs="Times New Roman"/>
    </w:rPr>
  </w:style>
  <w:style w:type="character" w:customStyle="1" w:styleId="CharStyle26">
    <w:name w:val="Подпись к таблице_"/>
    <w:basedOn w:val="DefaultParagraphFont"/>
    <w:link w:val="Style25"/>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w:basedOn w:val="CharStyle11"/>
    <w:rPr>
      <w:lang w:val="ru-RU" w:eastAsia="ru-RU" w:bidi="ru-RU"/>
      <w:w w:val="100"/>
      <w:spacing w:val="0"/>
      <w:color w:val="000000"/>
      <w:position w:val="0"/>
    </w:rPr>
  </w:style>
  <w:style w:type="character" w:customStyle="1" w:styleId="CharStyle28">
    <w:name w:val="Основной текст + 10 pt,Полужирный"/>
    <w:basedOn w:val="CharStyle11"/>
    <w:rPr>
      <w:lang w:val="ru-RU" w:eastAsia="ru-RU" w:bidi="ru-RU"/>
      <w:b/>
      <w:bCs/>
      <w:sz w:val="20"/>
      <w:szCs w:val="20"/>
      <w:w w:val="100"/>
      <w:spacing w:val="0"/>
      <w:color w:val="000000"/>
      <w:position w:val="0"/>
    </w:rPr>
  </w:style>
  <w:style w:type="character" w:customStyle="1" w:styleId="CharStyle29">
    <w:name w:val="Основной текст + Verdana,7 pt,Полужирный,Интервал 1 pt"/>
    <w:basedOn w:val="CharStyle11"/>
    <w:rPr>
      <w:lang w:val="ru-RU" w:eastAsia="ru-RU" w:bidi="ru-RU"/>
      <w:b/>
      <w:bCs/>
      <w:sz w:val="14"/>
      <w:szCs w:val="14"/>
      <w:rFonts w:ascii="Verdana" w:eastAsia="Verdana" w:hAnsi="Verdana" w:cs="Verdana"/>
      <w:w w:val="100"/>
      <w:spacing w:val="20"/>
      <w:color w:val="000000"/>
      <w:position w:val="0"/>
    </w:rPr>
  </w:style>
  <w:style w:type="character" w:customStyle="1" w:styleId="CharStyle30">
    <w:name w:val="Основной текст + Полужирный"/>
    <w:basedOn w:val="CharStyle11"/>
    <w:rPr>
      <w:lang w:val="ru-RU" w:eastAsia="ru-RU" w:bidi="ru-RU"/>
      <w:b/>
      <w:bCs/>
      <w:w w:val="100"/>
      <w:spacing w:val="0"/>
      <w:color w:val="000000"/>
      <w:position w:val="0"/>
    </w:rPr>
  </w:style>
  <w:style w:type="character" w:customStyle="1" w:styleId="CharStyle31">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32">
    <w:name w:val="Основной текст (3) + Не полужирный"/>
    <w:basedOn w:val="CharStyle7"/>
    <w:rPr>
      <w:lang w:val="ru-RU" w:eastAsia="ru-RU" w:bidi="ru-RU"/>
      <w:b/>
      <w:bCs/>
      <w:w w:val="100"/>
      <w:spacing w:val="0"/>
      <w:color w:val="000000"/>
      <w:position w:val="0"/>
    </w:rPr>
  </w:style>
  <w:style w:type="character" w:customStyle="1" w:styleId="CharStyle33">
    <w:name w:val="Основной текст"/>
    <w:basedOn w:val="CharStyle11"/>
    <w:rPr>
      <w:lang w:val="en-US" w:eastAsia="en-US" w:bidi="en-US"/>
      <w:u w:val="single"/>
      <w:w w:val="100"/>
      <w:spacing w:val="0"/>
      <w:color w:val="000000"/>
      <w:position w:val="0"/>
    </w:rPr>
  </w:style>
  <w:style w:type="character" w:customStyle="1" w:styleId="CharStyle35">
    <w:name w:val="Основной текст (6)_"/>
    <w:basedOn w:val="DefaultParagraphFont"/>
    <w:link w:val="Style34"/>
    <w:rPr>
      <w:b w:val="0"/>
      <w:bCs w:val="0"/>
      <w:i/>
      <w:iCs/>
      <w:u w:val="none"/>
      <w:strike w:val="0"/>
      <w:smallCaps w:val="0"/>
      <w:sz w:val="19"/>
      <w:szCs w:val="19"/>
      <w:rFonts w:ascii="Times New Roman" w:eastAsia="Times New Roman" w:hAnsi="Times New Roman" w:cs="Times New Roman"/>
    </w:rPr>
  </w:style>
  <w:style w:type="character" w:customStyle="1" w:styleId="CharStyle36">
    <w:name w:val="Основной текст (6) + Полужирный"/>
    <w:basedOn w:val="CharStyle35"/>
    <w:rPr>
      <w:lang w:val="ru-RU" w:eastAsia="ru-RU" w:bidi="ru-RU"/>
      <w:b/>
      <w:bCs/>
      <w:u w:val="single"/>
      <w:w w:val="100"/>
      <w:spacing w:val="0"/>
      <w:color w:val="000000"/>
      <w:position w:val="0"/>
    </w:rPr>
  </w:style>
  <w:style w:type="character" w:customStyle="1" w:styleId="CharStyle37">
    <w:name w:val="Основной текст (6) + Полужирный"/>
    <w:basedOn w:val="CharStyle35"/>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54"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25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after="78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before="60" w:after="60" w:line="269"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5">
    <w:name w:val="Подпись к таблице"/>
    <w:basedOn w:val="Normal"/>
    <w:link w:val="CharStyle26"/>
    <w:pPr>
      <w:widowControl w:val="0"/>
      <w:shd w:val="clear" w:color="auto" w:fill="FFFFFF"/>
      <w:jc w:val="both"/>
      <w:spacing w:line="274" w:lineRule="exact"/>
      <w:ind w:firstLine="720"/>
    </w:pPr>
    <w:rPr>
      <w:b w:val="0"/>
      <w:bCs w:val="0"/>
      <w:i w:val="0"/>
      <w:iCs w:val="0"/>
      <w:u w:val="none"/>
      <w:strike w:val="0"/>
      <w:smallCaps w:val="0"/>
      <w:sz w:val="23"/>
      <w:szCs w:val="23"/>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before="420" w:after="420" w:line="226"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