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889" w:left="2655" w:right="8137" w:bottom="913"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w:t>
      </w:r>
      <w:r>
        <w:rPr>
          <w:rStyle w:val="CharStyle5"/>
          <w:b/>
          <w:bCs/>
        </w:rPr>
        <w:t>ЕНИЕ</w:t>
      </w:r>
      <w:r>
        <w:rPr>
          <w:lang w:val="ru-RU" w:eastAsia="ru-RU" w:bidi="ru-RU"/>
          <w:w w:val="100"/>
          <w:spacing w:val="0"/>
          <w:color w:val="000000"/>
          <w:position w:val="0"/>
        </w:rPr>
        <w:t xml:space="preserve"> Федеральной антимонопольной службы по Республике Крым и городу Севастополю</w:t>
      </w:r>
    </w:p>
    <w:p>
      <w:pPr>
        <w:pStyle w:val="Style6"/>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8"/>
        <w:widowControl w:val="0"/>
        <w:keepNext w:val="0"/>
        <w:keepLines w:val="0"/>
        <w:shd w:val="clear" w:color="auto" w:fill="auto"/>
        <w:bidi w:val="0"/>
        <w:jc w:val="left"/>
        <w:spacing w:before="0" w:after="0"/>
        <w:ind w:left="20" w:right="2180" w:firstLine="0"/>
      </w:pPr>
      <w:r>
        <w:rPr>
          <w:lang w:val="ru-RU" w:eastAsia="ru-RU" w:bidi="ru-RU"/>
          <w:w w:val="100"/>
          <w:spacing w:val="0"/>
          <w:color w:val="000000"/>
          <w:position w:val="0"/>
        </w:rPr>
        <w:t>16.11.2017 №06/13167 На № б/н, б/д</w:t>
      </w:r>
    </w:p>
    <w:p>
      <w:pPr>
        <w:pStyle w:val="Style8"/>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Заказчик:</w:t>
      </w:r>
    </w:p>
    <w:p>
      <w:pPr>
        <w:pStyle w:val="Style8"/>
        <w:widowControl w:val="0"/>
        <w:keepNext w:val="0"/>
        <w:keepLines w:val="0"/>
        <w:shd w:val="clear" w:color="auto" w:fill="auto"/>
        <w:bidi w:val="0"/>
        <w:jc w:val="left"/>
        <w:spacing w:before="0" w:after="0" w:line="317" w:lineRule="exact"/>
        <w:ind w:left="20" w:right="620" w:firstLine="0"/>
      </w:pPr>
      <w:r>
        <w:rPr>
          <w:lang w:val="ru-RU" w:eastAsia="ru-RU" w:bidi="ru-RU"/>
          <w:w w:val="100"/>
          <w:spacing w:val="0"/>
          <w:color w:val="000000"/>
          <w:position w:val="0"/>
        </w:rPr>
        <w:t>Департамент городского хозяйства администрации города Евпатории Республики Крым</w:t>
      </w:r>
    </w:p>
    <w:p>
      <w:pPr>
        <w:pStyle w:val="Style8"/>
        <w:widowControl w:val="0"/>
        <w:keepNext w:val="0"/>
        <w:keepLines w:val="0"/>
        <w:shd w:val="clear" w:color="auto" w:fill="auto"/>
        <w:bidi w:val="0"/>
        <w:jc w:val="both"/>
        <w:spacing w:before="0" w:after="286" w:line="317" w:lineRule="exact"/>
        <w:ind w:left="20" w:right="120" w:firstLine="0"/>
      </w:pPr>
      <w:r>
        <w:rPr>
          <w:lang w:val="ru-RU" w:eastAsia="ru-RU" w:bidi="ru-RU"/>
          <w:w w:val="100"/>
          <w:spacing w:val="0"/>
          <w:color w:val="000000"/>
          <w:position w:val="0"/>
        </w:rPr>
        <w:t>297408, Республика Крым, г. Евпатория, проезд А. Ахматовой, 21/16</w:t>
      </w:r>
    </w:p>
    <w:p>
      <w:pPr>
        <w:pStyle w:val="Style8"/>
        <w:numPr>
          <w:ilvl w:val="0"/>
          <w:numId w:val="1"/>
        </w:numPr>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 xml:space="preserve"> Заявитель:</w:t>
      </w:r>
    </w:p>
    <w:p>
      <w:pPr>
        <w:pStyle w:val="Style8"/>
        <w:widowControl w:val="0"/>
        <w:keepNext w:val="0"/>
        <w:keepLines w:val="0"/>
        <w:shd w:val="clear" w:color="auto" w:fill="auto"/>
        <w:bidi w:val="0"/>
        <w:jc w:val="left"/>
        <w:spacing w:before="0" w:after="233" w:line="322" w:lineRule="exact"/>
        <w:ind w:left="20" w:right="620" w:firstLine="0"/>
      </w:pPr>
      <w:r>
        <w:rPr>
          <w:lang w:val="ru-RU" w:eastAsia="ru-RU" w:bidi="ru-RU"/>
          <w:w w:val="100"/>
          <w:spacing w:val="0"/>
          <w:color w:val="000000"/>
          <w:position w:val="0"/>
        </w:rPr>
        <w:t>Общество с ограниченной ответственностью «РусСтальМакс» 453701, Республика Башкортостан, Учалинский р-н, г.и Учалы, ул. Ахметгаллина, д. 11, оф. 111</w:t>
      </w:r>
    </w:p>
    <w:p>
      <w:pPr>
        <w:pStyle w:val="Style8"/>
        <w:numPr>
          <w:ilvl w:val="0"/>
          <w:numId w:val="1"/>
        </w:numPr>
        <w:widowControl w:val="0"/>
        <w:keepNext w:val="0"/>
        <w:keepLines w:val="0"/>
        <w:shd w:val="clear" w:color="auto" w:fill="auto"/>
        <w:bidi w:val="0"/>
        <w:jc w:val="left"/>
        <w:spacing w:before="0" w:after="0" w:line="331" w:lineRule="exact"/>
        <w:ind w:left="20" w:right="620" w:firstLine="0"/>
      </w:pPr>
      <w:r>
        <w:rPr>
          <w:lang w:val="ru-RU" w:eastAsia="ru-RU" w:bidi="ru-RU"/>
          <w:w w:val="100"/>
          <w:spacing w:val="0"/>
          <w:color w:val="000000"/>
          <w:position w:val="0"/>
        </w:rPr>
        <w:t xml:space="preserve"> Оператор электронной площадки: ООО «РТС-тендер»</w:t>
      </w:r>
    </w:p>
    <w:p>
      <w:pPr>
        <w:pStyle w:val="Style8"/>
        <w:widowControl w:val="0"/>
        <w:keepNext w:val="0"/>
        <w:keepLines w:val="0"/>
        <w:shd w:val="clear" w:color="auto" w:fill="auto"/>
        <w:bidi w:val="0"/>
        <w:jc w:val="both"/>
        <w:spacing w:before="0" w:after="0" w:line="331" w:lineRule="exact"/>
        <w:ind w:left="20" w:right="0" w:firstLine="0"/>
        <w:sectPr>
          <w:type w:val="continuous"/>
          <w:pgSz w:w="11906" w:h="16838"/>
          <w:pgMar w:top="889" w:left="797" w:right="1123" w:bottom="913" w:header="0" w:footer="3" w:gutter="0"/>
          <w:rtlGutter w:val="0"/>
          <w:cols w:num="2" w:space="106"/>
          <w:noEndnote/>
          <w:docGrid w:linePitch="360"/>
        </w:sectPr>
      </w:pPr>
      <w:r>
        <w:rPr>
          <w:lang w:val="ru-RU" w:eastAsia="ru-RU" w:bidi="ru-RU"/>
          <w:w w:val="100"/>
          <w:spacing w:val="0"/>
          <w:color w:val="000000"/>
          <w:position w:val="0"/>
        </w:rPr>
        <w:t>121151, г. Москва, наб. Тараса Шевченко, д. 23А, сектор В, 25 этаж</w:t>
      </w:r>
    </w:p>
    <w:p>
      <w:pPr>
        <w:widowControl w:val="0"/>
        <w:spacing w:line="230"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0"/>
        <w:ind w:left="0" w:right="0" w:firstLine="0"/>
        <w:sectPr>
          <w:type w:val="continuous"/>
          <w:pgSz w:w="11906" w:h="16838"/>
          <w:pgMar w:top="889" w:left="2367" w:right="2045" w:bottom="913" w:header="0" w:footer="3" w:gutter="0"/>
          <w:rtlGutter w:val="0"/>
          <w:cols w:space="720"/>
          <w:noEndnote/>
          <w:docGrid w:linePitch="360"/>
        </w:sectPr>
      </w:pPr>
      <w:r>
        <w:rPr>
          <w:lang w:val="ru-RU" w:eastAsia="ru-RU" w:bidi="ru-RU"/>
          <w:w w:val="100"/>
          <w:spacing w:val="0"/>
          <w:color w:val="000000"/>
          <w:position w:val="0"/>
        </w:rPr>
        <w:t>Решение по делу №06/4281-17 о нарушении законодательства Российской Федерации о контрактной системе в сфере закупок</w:t>
      </w:r>
    </w:p>
    <w:p>
      <w:pPr>
        <w:widowControl w:val="0"/>
        <w:spacing w:before="22" w:after="2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framePr w:h="240" w:wrap="around" w:vAnchor="text" w:hAnchor="margin" w:x="523" w:y="6"/>
        <w:widowControl w:val="0"/>
        <w:keepNext w:val="0"/>
        <w:keepLines w:val="0"/>
        <w:shd w:val="clear" w:color="auto" w:fill="auto"/>
        <w:bidi w:val="0"/>
        <w:jc w:val="left"/>
        <w:spacing w:before="0" w:after="0" w:line="240" w:lineRule="exact"/>
        <w:ind w:left="100" w:right="0" w:firstLine="0"/>
      </w:pPr>
      <w:r>
        <w:rPr>
          <w:rStyle w:val="CharStyle12"/>
          <w:spacing w:val="0"/>
        </w:rPr>
        <w:t>14.11.2017</w:t>
      </w:r>
    </w:p>
    <w:p>
      <w:pPr>
        <w:pStyle w:val="Style8"/>
        <w:widowControl w:val="0"/>
        <w:keepNext w:val="0"/>
        <w:keepLines w:val="0"/>
        <w:shd w:val="clear" w:color="auto" w:fill="auto"/>
        <w:bidi w:val="0"/>
        <w:jc w:val="right"/>
        <w:spacing w:before="0" w:after="197" w:line="260" w:lineRule="exact"/>
        <w:ind w:left="0" w:right="20" w:firstLine="0"/>
      </w:pPr>
      <w:r>
        <w:rPr>
          <w:lang w:val="ru-RU" w:eastAsia="ru-RU" w:bidi="ru-RU"/>
          <w:w w:val="100"/>
          <w:spacing w:val="0"/>
          <w:color w:val="000000"/>
          <w:position w:val="0"/>
        </w:rPr>
        <w:t>г. Симферополь</w:t>
      </w:r>
    </w:p>
    <w:p>
      <w:pPr>
        <w:pStyle w:val="Style8"/>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8"/>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8"/>
        <w:widowControl w:val="0"/>
        <w:keepNext w:val="0"/>
        <w:keepLines w:val="0"/>
        <w:shd w:val="clear" w:color="auto" w:fill="auto"/>
        <w:bidi w:val="0"/>
        <w:jc w:val="left"/>
        <w:spacing w:before="0" w:after="0" w:line="317"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8"/>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главного специалиста-эксперта отдела контроля закупок Крымского УФАС России О. А. Шалимовой, —</w:t>
      </w:r>
    </w:p>
    <w:p>
      <w:pPr>
        <w:pStyle w:val="Style8"/>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при участии представителей интересов Заказчика О. Н. Наухацкой (по доверенности), А. А. Григоришиной (по доверенности),</w:t>
      </w:r>
    </w:p>
    <w:p>
      <w:pPr>
        <w:pStyle w:val="Style8"/>
        <w:widowControl w:val="0"/>
        <w:keepNext w:val="0"/>
        <w:keepLines w:val="0"/>
        <w:shd w:val="clear" w:color="auto" w:fill="auto"/>
        <w:bidi w:val="0"/>
        <w:jc w:val="both"/>
        <w:spacing w:before="0" w:after="0" w:line="317" w:lineRule="exact"/>
        <w:ind w:left="0" w:right="0" w:firstLine="860"/>
      </w:pPr>
      <w:r>
        <w:rPr>
          <w:lang w:val="ru-RU" w:eastAsia="ru-RU" w:bidi="ru-RU"/>
          <w:w w:val="100"/>
          <w:spacing w:val="0"/>
          <w:color w:val="000000"/>
          <w:position w:val="0"/>
        </w:rPr>
        <w:t>представители Заявителя на заседание Комиссии не явились, —</w:t>
      </w:r>
      <w:r>
        <w:br w:type="page"/>
      </w:r>
    </w:p>
    <w:p>
      <w:pPr>
        <w:pStyle w:val="Style8"/>
        <w:tabs>
          <w:tab w:leader="none" w:pos="10196" w:val="right"/>
        </w:tabs>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рассмотрев жалобу Заявителя б/н, б/д (вх. №4871/09 от 09.11.2017) на действия Заказчика при проведении электронного аукциона «Капитальный ремонт общежития, г. Евпатория, ул. Крупской, 36» (номер извещения 0875300011317000048)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8"/>
        <w:widowControl w:val="0"/>
        <w:keepNext w:val="0"/>
        <w:keepLines w:val="0"/>
        <w:shd w:val="clear" w:color="auto" w:fill="auto"/>
        <w:bidi w:val="0"/>
        <w:jc w:val="both"/>
        <w:spacing w:before="0" w:after="109" w:line="322" w:lineRule="exact"/>
        <w:ind w:left="20" w:right="4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8"/>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По мнению Заявителя, его права и законные интересы нарушены следующими действиями Заказчика:</w:t>
      </w:r>
    </w:p>
    <w:p>
      <w:pPr>
        <w:pStyle w:val="Style8"/>
        <w:numPr>
          <w:ilvl w:val="0"/>
          <w:numId w:val="3"/>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Заказчиком в техническом задании документации об Аукционе установлены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 а также требование о соответствии товаров (материалов), используемым при выполнении работ, ГОСТам, утратившим свою силу, что приводит к ограничению конкуренции.</w:t>
      </w:r>
    </w:p>
    <w:p>
      <w:pPr>
        <w:pStyle w:val="Style8"/>
        <w:numPr>
          <w:ilvl w:val="0"/>
          <w:numId w:val="3"/>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Заказчиком в документации об Аукционе ненадлежащим образом составлена Инструкция по заполнению заявок участников Аукциона.</w:t>
      </w:r>
    </w:p>
    <w:p>
      <w:pPr>
        <w:pStyle w:val="Style8"/>
        <w:numPr>
          <w:ilvl w:val="0"/>
          <w:numId w:val="3"/>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Заказчиком размещено техническое задание документации об Аукционе в формате </w:t>
      </w:r>
      <w:r>
        <w:rPr>
          <w:lang w:val="en-US" w:eastAsia="en-US" w:bidi="en-US"/>
          <w:w w:val="100"/>
          <w:spacing w:val="0"/>
          <w:color w:val="000000"/>
          <w:position w:val="0"/>
        </w:rPr>
        <w:t xml:space="preserve">PDF, </w:t>
      </w:r>
      <w:r>
        <w:rPr>
          <w:lang w:val="ru-RU" w:eastAsia="ru-RU" w:bidi="ru-RU"/>
          <w:w w:val="100"/>
          <w:spacing w:val="0"/>
          <w:color w:val="000000"/>
          <w:position w:val="0"/>
        </w:rPr>
        <w:t>не обеспечивающее возможность его копирования.</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09.11.2017 №06/12785,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8"/>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8"/>
        <w:numPr>
          <w:ilvl w:val="0"/>
          <w:numId w:val="5"/>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извещение об осуществлении закупки размещено на официальном сайте — 15.09.2017, изменения - 24.10.2017;</w:t>
      </w:r>
    </w:p>
    <w:p>
      <w:pPr>
        <w:pStyle w:val="Style8"/>
        <w:numPr>
          <w:ilvl w:val="0"/>
          <w:numId w:val="5"/>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способ определения поставщика (подрядчика, исполнителя) - электронный</w:t>
      </w:r>
    </w:p>
    <w:p>
      <w:pPr>
        <w:pStyle w:val="Style8"/>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аукцион;</w:t>
      </w:r>
    </w:p>
    <w:p>
      <w:pPr>
        <w:pStyle w:val="Style8"/>
        <w:numPr>
          <w:ilvl w:val="0"/>
          <w:numId w:val="5"/>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- 9 624 637,00 рублей;</w:t>
      </w:r>
    </w:p>
    <w:p>
      <w:pPr>
        <w:pStyle w:val="Style8"/>
        <w:numPr>
          <w:ilvl w:val="0"/>
          <w:numId w:val="5"/>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дата и время окончания подачи заявок: 09.11.2017 08:00, дата окончания срока рассмотрения первых частей заявок участников: 10.11.2017, дата проведения Аукциона: 13.11.2017;</w:t>
      </w:r>
    </w:p>
    <w:p>
      <w:pPr>
        <w:pStyle w:val="Style8"/>
        <w:numPr>
          <w:ilvl w:val="0"/>
          <w:numId w:val="5"/>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на участие в Аукционе подано 6 заявок, их них по результатам рассмотрения первых частей заявок участников 3 заявки признаны несоответствующими документации об Аукционе и Закону о контрактной системе;</w:t>
      </w:r>
    </w:p>
    <w:p>
      <w:pPr>
        <w:pStyle w:val="Style8"/>
        <w:numPr>
          <w:ilvl w:val="0"/>
          <w:numId w:val="5"/>
        </w:numPr>
        <w:widowControl w:val="0"/>
        <w:keepNext w:val="0"/>
        <w:keepLines w:val="0"/>
        <w:shd w:val="clear" w:color="auto" w:fill="auto"/>
        <w:bidi w:val="0"/>
        <w:jc w:val="both"/>
        <w:spacing w:before="0" w:after="60" w:line="322" w:lineRule="exact"/>
        <w:ind w:left="20" w:right="40" w:firstLine="860"/>
      </w:pPr>
      <w:r>
        <w:rPr>
          <w:lang w:val="ru-RU" w:eastAsia="ru-RU" w:bidi="ru-RU"/>
          <w:w w:val="100"/>
          <w:spacing w:val="0"/>
          <w:color w:val="000000"/>
          <w:position w:val="0"/>
        </w:rPr>
        <w:t xml:space="preserve"> при проведении Аукциона предложения о цене контракта подавали 3 участника, снижение от начальной (максимальной) цены контракта составило 9,5%.</w:t>
      </w:r>
    </w:p>
    <w:p>
      <w:pPr>
        <w:pStyle w:val="Style8"/>
        <w:numPr>
          <w:ilvl w:val="0"/>
          <w:numId w:val="7"/>
        </w:numPr>
        <w:tabs>
          <w:tab w:leader="none" w:pos="1192" w:val="left"/>
        </w:tabs>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качестве доводов жалобы Заявитель указывает на то, что в техническом задании документации об Аукционе установлены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 а также требование о соответствии товаров (материалов), используемым при выполнении работ, ГОСТам, утратившим свою силу, что приводит к ограничению конкуренции.</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8"/>
        <w:numPr>
          <w:ilvl w:val="0"/>
          <w:numId w:val="5"/>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8"/>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8"/>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8"/>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8"/>
        <w:numPr>
          <w:ilvl w:val="0"/>
          <w:numId w:val="9"/>
        </w:numPr>
        <w:tabs>
          <w:tab w:leader="none" w:pos="1287"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numPr>
          <w:ilvl w:val="0"/>
          <w:numId w:val="9"/>
        </w:numPr>
        <w:tabs>
          <w:tab w:leader="none" w:pos="1239" w:val="left"/>
        </w:tabs>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Заказчиком в техническом задании документации об Аукционе установлено требование о соответствии товаров, используемых при выполнении работ, например: </w:t>
      </w:r>
      <w:r>
        <w:rPr>
          <w:rStyle w:val="CharStyle13"/>
        </w:rPr>
        <w:t>«...</w:t>
      </w:r>
    </w:p>
    <w:tbl>
      <w:tblPr>
        <w:tblOverlap w:val="never"/>
        <w:tblLayout w:type="fixed"/>
        <w:jc w:val="center"/>
      </w:tblPr>
      <w:tblGrid>
        <w:gridCol w:w="715"/>
        <w:gridCol w:w="9518"/>
      </w:tblGrid>
      <w:tr>
        <w:trPr>
          <w:trHeight w:val="355"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center"/>
          </w:tcPr>
          <w:p>
            <w:pPr>
              <w:pStyle w:val="Style8"/>
              <w:framePr w:w="10234"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14"/>
              </w:rPr>
              <w:t>...</w:t>
            </w:r>
          </w:p>
        </w:tc>
      </w:tr>
      <w:tr>
        <w:trPr>
          <w:trHeight w:val="1080" w:hRule="exact"/>
        </w:trPr>
        <w:tc>
          <w:tcPr>
            <w:shd w:val="clear" w:color="auto" w:fill="FFFFFF"/>
            <w:tcBorders>
              <w:left w:val="single" w:sz="4"/>
              <w:top w:val="single" w:sz="4"/>
            </w:tcBorders>
            <w:vAlign w:val="top"/>
          </w:tcPr>
          <w:p>
            <w:pPr>
              <w:pStyle w:val="Style8"/>
              <w:framePr w:w="10234"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15"/>
              </w:rPr>
              <w:t>2.</w:t>
            </w:r>
          </w:p>
        </w:tc>
        <w:tc>
          <w:tcPr>
            <w:shd w:val="clear" w:color="auto" w:fill="FFFFFF"/>
            <w:tcBorders>
              <w:left w:val="single" w:sz="4"/>
              <w:right w:val="single" w:sz="4"/>
              <w:top w:val="single" w:sz="4"/>
            </w:tcBorders>
            <w:vAlign w:val="top"/>
          </w:tcPr>
          <w:p>
            <w:pPr>
              <w:pStyle w:val="Style8"/>
              <w:framePr w:w="10234" w:wrap="notBeside" w:vAnchor="text" w:hAnchor="text" w:xAlign="center" w:y="1"/>
              <w:widowControl w:val="0"/>
              <w:keepNext w:val="0"/>
              <w:keepLines w:val="0"/>
              <w:shd w:val="clear" w:color="auto" w:fill="auto"/>
              <w:bidi w:val="0"/>
              <w:jc w:val="both"/>
              <w:spacing w:before="0" w:after="60" w:line="220" w:lineRule="exact"/>
              <w:ind w:left="0" w:right="0" w:firstLine="0"/>
            </w:pPr>
            <w:r>
              <w:rPr>
                <w:rStyle w:val="CharStyle16"/>
              </w:rPr>
              <w:t>Наименование товара (материала) - Раствор.</w:t>
            </w:r>
          </w:p>
          <w:p>
            <w:pPr>
              <w:pStyle w:val="Style8"/>
              <w:framePr w:w="10234" w:wrap="notBeside" w:vAnchor="text" w:hAnchor="text" w:xAlign="center" w:y="1"/>
              <w:tabs>
                <w:tab w:leader="dot" w:pos="259" w:val="left"/>
              </w:tabs>
              <w:widowControl w:val="0"/>
              <w:keepNext w:val="0"/>
              <w:keepLines w:val="0"/>
              <w:shd w:val="clear" w:color="auto" w:fill="auto"/>
              <w:bidi w:val="0"/>
              <w:jc w:val="both"/>
              <w:spacing w:before="60" w:after="60" w:line="210" w:lineRule="exact"/>
              <w:ind w:left="0" w:right="0" w:firstLine="0"/>
            </w:pPr>
            <w:r>
              <w:rPr>
                <w:rStyle w:val="CharStyle15"/>
              </w:rPr>
              <w:tab/>
            </w:r>
            <w:r>
              <w:rPr>
                <w:rStyle w:val="CharStyle17"/>
              </w:rPr>
              <w:t>В зависимости от подвижности растворная смесь марки</w:t>
            </w:r>
            <w:r>
              <w:rPr>
                <w:rStyle w:val="CharStyle15"/>
              </w:rPr>
              <w:t xml:space="preserve"> в диапазоне П</w:t>
            </w:r>
            <w:r>
              <w:rPr>
                <w:rStyle w:val="CharStyle14"/>
              </w:rPr>
              <w:t>к</w:t>
            </w:r>
            <w:r>
              <w:rPr>
                <w:rStyle w:val="CharStyle15"/>
              </w:rPr>
              <w:t>1^П</w:t>
            </w:r>
            <w:r>
              <w:rPr>
                <w:rStyle w:val="CharStyle14"/>
              </w:rPr>
              <w:t>к</w:t>
            </w:r>
            <w:r>
              <w:rPr>
                <w:rStyle w:val="CharStyle15"/>
              </w:rPr>
              <w:t xml:space="preserve">3. </w:t>
            </w:r>
            <w:r>
              <w:rPr>
                <w:rStyle w:val="CharStyle17"/>
              </w:rPr>
              <w:t>Марка</w:t>
            </w:r>
          </w:p>
          <w:p>
            <w:pPr>
              <w:pStyle w:val="Style8"/>
              <w:framePr w:w="10234" w:wrap="notBeside" w:vAnchor="text" w:hAnchor="text" w:xAlign="center" w:y="1"/>
              <w:widowControl w:val="0"/>
              <w:keepNext w:val="0"/>
              <w:keepLines w:val="0"/>
              <w:shd w:val="clear" w:color="auto" w:fill="auto"/>
              <w:bidi w:val="0"/>
              <w:jc w:val="left"/>
              <w:spacing w:before="60" w:after="0" w:line="274" w:lineRule="exact"/>
              <w:ind w:left="120" w:right="0" w:firstLine="0"/>
            </w:pPr>
            <w:r>
              <w:rPr>
                <w:rStyle w:val="CharStyle17"/>
              </w:rPr>
              <w:t>раствора по прочности на сжатие в проектном возрасте</w:t>
            </w:r>
            <w:r>
              <w:rPr>
                <w:rStyle w:val="CharStyle15"/>
              </w:rPr>
              <w:t xml:space="preserve"> от М50. </w:t>
            </w:r>
            <w:r>
              <w:rPr>
                <w:rStyle w:val="CharStyle17"/>
              </w:rPr>
              <w:t>Наибольшая крупность зерен заполнителя</w:t>
            </w:r>
            <w:r>
              <w:rPr>
                <w:rStyle w:val="CharStyle15"/>
              </w:rPr>
              <w:t xml:space="preserve"> не более 2,5 мм. </w:t>
            </w:r>
            <w:r>
              <w:rPr>
                <w:rStyle w:val="CharStyle17"/>
              </w:rPr>
              <w:t>Соответствие ГОСТ</w:t>
            </w:r>
            <w:r>
              <w:rPr>
                <w:rStyle w:val="CharStyle15"/>
              </w:rPr>
              <w:t xml:space="preserve"> должно быть ГОСТ 28013-98.</w:t>
            </w:r>
          </w:p>
        </w:tc>
      </w:tr>
      <w:tr>
        <w:trPr>
          <w:trHeight w:val="389"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39" w:hRule="exact"/>
        </w:trPr>
        <w:tc>
          <w:tcPr>
            <w:shd w:val="clear" w:color="auto" w:fill="FFFFFF"/>
            <w:tcBorders>
              <w:left w:val="single" w:sz="4"/>
              <w:top w:val="single" w:sz="4"/>
            </w:tcBorders>
            <w:vAlign w:val="top"/>
          </w:tcPr>
          <w:p>
            <w:pPr>
              <w:pStyle w:val="Style8"/>
              <w:framePr w:w="10234"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15"/>
              </w:rPr>
              <w:t>17</w:t>
            </w:r>
          </w:p>
        </w:tc>
        <w:tc>
          <w:tcPr>
            <w:shd w:val="clear" w:color="auto" w:fill="FFFFFF"/>
            <w:tcBorders>
              <w:left w:val="single" w:sz="4"/>
              <w:right w:val="single" w:sz="4"/>
              <w:top w:val="single" w:sz="4"/>
            </w:tcBorders>
            <w:vAlign w:val="bottom"/>
          </w:tcPr>
          <w:p>
            <w:pPr>
              <w:pStyle w:val="Style8"/>
              <w:framePr w:w="10234"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16"/>
              </w:rPr>
              <w:t>Наименование товара (материала) - Бетонная смесь.</w:t>
            </w:r>
          </w:p>
          <w:p>
            <w:pPr>
              <w:pStyle w:val="Style8"/>
              <w:framePr w:w="10234" w:wrap="notBeside" w:vAnchor="text" w:hAnchor="text" w:xAlign="center" w:y="1"/>
              <w:widowControl w:val="0"/>
              <w:keepNext w:val="0"/>
              <w:keepLines w:val="0"/>
              <w:shd w:val="clear" w:color="auto" w:fill="auto"/>
              <w:bidi w:val="0"/>
              <w:jc w:val="left"/>
              <w:spacing w:before="0" w:after="0" w:line="259" w:lineRule="exact"/>
              <w:ind w:left="120" w:right="0" w:firstLine="0"/>
            </w:pPr>
            <w:r>
              <w:rPr>
                <w:rStyle w:val="CharStyle17"/>
              </w:rPr>
              <w:t>...</w:t>
            </w:r>
            <w:r>
              <w:rPr>
                <w:rStyle w:val="CharStyle15"/>
              </w:rPr>
              <w:t xml:space="preserve">. </w:t>
            </w:r>
            <w:r>
              <w:rPr>
                <w:rStyle w:val="CharStyle17"/>
              </w:rPr>
              <w:t>В зависимости от показателя удобоукладываемости бетонная смесь марки</w:t>
            </w:r>
            <w:r>
              <w:rPr>
                <w:rStyle w:val="CharStyle15"/>
              </w:rPr>
              <w:t xml:space="preserve"> по расплыву конуса; по осадке конуса; по жесткости; по уплотнению.. </w:t>
            </w:r>
            <w:r>
              <w:rPr>
                <w:rStyle w:val="CharStyle17"/>
              </w:rPr>
              <w:t>Марка по расплыву конуса</w:t>
            </w:r>
            <w:r>
              <w:rPr>
                <w:rStyle w:val="CharStyle15"/>
              </w:rPr>
              <w:t xml:space="preserve"> не ниже Р1 не выше Р5. </w:t>
            </w:r>
            <w:r>
              <w:rPr>
                <w:rStyle w:val="CharStyle17"/>
              </w:rPr>
              <w:t>Марка по осадке конуса</w:t>
            </w:r>
            <w:r>
              <w:rPr>
                <w:rStyle w:val="CharStyle15"/>
              </w:rPr>
              <w:t xml:space="preserve"> не ниже П1 не выше П4. </w:t>
            </w:r>
            <w:r>
              <w:rPr>
                <w:rStyle w:val="CharStyle17"/>
              </w:rPr>
              <w:t>Марка по жесткости</w:t>
            </w:r>
            <w:r>
              <w:rPr>
                <w:rStyle w:val="CharStyle15"/>
              </w:rPr>
              <w:t xml:space="preserve"> не ниже Ж1 не выше </w:t>
            </w:r>
            <w:r>
              <w:rPr>
                <w:rStyle w:val="CharStyle17"/>
              </w:rPr>
              <w:t>Ж5.Марка по уплотнению</w:t>
            </w:r>
            <w:r>
              <w:rPr>
                <w:rStyle w:val="CharStyle15"/>
              </w:rPr>
              <w:t xml:space="preserve"> не ниже КУ1 не выше КУ5....</w:t>
            </w:r>
          </w:p>
        </w:tc>
      </w:tr>
      <w:tr>
        <w:trPr>
          <w:trHeight w:val="389"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center"/>
          </w:tcPr>
          <w:p>
            <w:pPr>
              <w:pStyle w:val="Style8"/>
              <w:framePr w:w="10234"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14"/>
              </w:rPr>
              <w:t>...</w:t>
            </w:r>
          </w:p>
        </w:tc>
      </w:tr>
      <w:tr>
        <w:trPr>
          <w:trHeight w:val="1066" w:hRule="exact"/>
        </w:trPr>
        <w:tc>
          <w:tcPr>
            <w:shd w:val="clear" w:color="auto" w:fill="FFFFFF"/>
            <w:tcBorders>
              <w:left w:val="single" w:sz="4"/>
              <w:top w:val="single" w:sz="4"/>
            </w:tcBorders>
            <w:vAlign w:val="top"/>
          </w:tcPr>
          <w:p>
            <w:pPr>
              <w:pStyle w:val="Style8"/>
              <w:framePr w:w="10234"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15"/>
              </w:rPr>
              <w:t>27</w:t>
            </w:r>
          </w:p>
        </w:tc>
        <w:tc>
          <w:tcPr>
            <w:shd w:val="clear" w:color="auto" w:fill="FFFFFF"/>
            <w:tcBorders>
              <w:left w:val="single" w:sz="4"/>
              <w:right w:val="single" w:sz="4"/>
              <w:top w:val="single" w:sz="4"/>
            </w:tcBorders>
            <w:vAlign w:val="bottom"/>
          </w:tcPr>
          <w:p>
            <w:pPr>
              <w:pStyle w:val="Style8"/>
              <w:framePr w:w="10234" w:wrap="notBeside" w:vAnchor="text" w:hAnchor="text" w:xAlign="center" w:y="1"/>
              <w:widowControl w:val="0"/>
              <w:keepNext w:val="0"/>
              <w:keepLines w:val="0"/>
              <w:shd w:val="clear" w:color="auto" w:fill="auto"/>
              <w:bidi w:val="0"/>
              <w:jc w:val="both"/>
              <w:spacing w:before="0" w:after="0" w:line="264" w:lineRule="exact"/>
              <w:ind w:left="0" w:right="0" w:firstLine="0"/>
            </w:pPr>
            <w:r>
              <w:rPr>
                <w:rStyle w:val="CharStyle16"/>
              </w:rPr>
              <w:t>Наименование товара (материала) - Катанка (проволока).</w:t>
            </w:r>
          </w:p>
          <w:p>
            <w:pPr>
              <w:pStyle w:val="Style8"/>
              <w:framePr w:w="10234" w:wrap="notBeside" w:vAnchor="text" w:hAnchor="text" w:xAlign="center" w:y="1"/>
              <w:tabs>
                <w:tab w:leader="dot" w:pos="5976" w:val="left"/>
              </w:tabs>
              <w:widowControl w:val="0"/>
              <w:keepNext w:val="0"/>
              <w:keepLines w:val="0"/>
              <w:shd w:val="clear" w:color="auto" w:fill="auto"/>
              <w:bidi w:val="0"/>
              <w:jc w:val="left"/>
              <w:spacing w:before="0" w:after="0" w:line="264" w:lineRule="exact"/>
              <w:ind w:left="120" w:right="0" w:firstLine="0"/>
            </w:pPr>
            <w:r>
              <w:rPr>
                <w:rStyle w:val="CharStyle15"/>
              </w:rPr>
              <w:t xml:space="preserve">.... </w:t>
            </w:r>
            <w:r>
              <w:rPr>
                <w:rStyle w:val="CharStyle17"/>
              </w:rPr>
              <w:t>По способу охлаждения</w:t>
            </w:r>
            <w:r>
              <w:rPr>
                <w:rStyle w:val="CharStyle15"/>
              </w:rPr>
              <w:t xml:space="preserve"> катанка охлаждена на воздухе, подвергнута одностадийному ускоренному охлаждению или двухстадийному ускоренному охлаждению. </w:t>
            </w:r>
            <w:r>
              <w:rPr>
                <w:rStyle w:val="CharStyle17"/>
              </w:rPr>
              <w:t>По точности прокатки</w:t>
            </w:r>
            <w:r>
              <w:rPr>
                <w:rStyle w:val="CharStyle15"/>
              </w:rPr>
              <w:t xml:space="preserve"> повышенной точности или обычной точности</w:t>
              <w:tab/>
            </w:r>
          </w:p>
        </w:tc>
      </w:tr>
      <w:tr>
        <w:trPr>
          <w:trHeight w:val="398" w:hRule="exact"/>
        </w:trPr>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center"/>
          </w:tcPr>
          <w:p>
            <w:pPr>
              <w:pStyle w:val="Style8"/>
              <w:framePr w:w="10234"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14"/>
              </w:rPr>
              <w:t>...</w:t>
            </w:r>
          </w:p>
        </w:tc>
      </w:tr>
    </w:tbl>
    <w:p>
      <w:pPr>
        <w:widowControl w:val="0"/>
        <w:rPr>
          <w:sz w:val="2"/>
          <w:szCs w:val="2"/>
        </w:rPr>
      </w:pPr>
    </w:p>
    <w:p>
      <w:pPr>
        <w:pStyle w:val="Style8"/>
        <w:widowControl w:val="0"/>
        <w:keepNext w:val="0"/>
        <w:keepLines w:val="0"/>
        <w:shd w:val="clear" w:color="auto" w:fill="auto"/>
        <w:bidi w:val="0"/>
        <w:jc w:val="both"/>
        <w:spacing w:before="0" w:after="0" w:line="322" w:lineRule="exact"/>
        <w:ind w:left="0" w:right="0" w:firstLine="860"/>
      </w:pPr>
      <w:r>
        <w:rPr>
          <w:rStyle w:val="CharStyle13"/>
        </w:rPr>
        <w:t>.»</w:t>
      </w:r>
      <w:r>
        <w:rPr>
          <w:lang w:val="ru-RU" w:eastAsia="ru-RU" w:bidi="ru-RU"/>
          <w:w w:val="100"/>
          <w:spacing w:val="0"/>
          <w:color w:val="000000"/>
          <w:position w:val="0"/>
        </w:rPr>
        <w:t xml:space="preserve"> (цитаты).</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Учитывая, что Закон о контрактной системе не обязывает участника Аукциона в момент подачи заявки на участие в Аукционе иметь в наличии товар, подлежащий описанию в соответствии с требованиями документации об Аукционе, вышеприведенные примеры подробного изложения в документации об Аукционе требований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компонентов товара, показателей технологии производства, показателей,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Комиссия, изучив документацию об Аукционе, ответы на запросы о даче разъяснений положений документации об Аукционе, размещенные Заказчиком на официальном сайте, установила ненадлежащее описание Заказчиком товаров, используемых при выполнении работ, указанных Заявителем в жалобе по позициям №№2, 17, 27, чем нарушены требования части 6 статьи 66 Закона о контрактной системе.</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Кроме того, в техническом задании по поз</w:t>
      </w:r>
      <w:r>
        <w:rPr>
          <w:rStyle w:val="CharStyle18"/>
        </w:rPr>
        <w:t>ици</w:t>
      </w:r>
      <w:r>
        <w:rPr>
          <w:lang w:val="ru-RU" w:eastAsia="ru-RU" w:bidi="ru-RU"/>
          <w:w w:val="100"/>
          <w:spacing w:val="0"/>
          <w:color w:val="000000"/>
          <w:position w:val="0"/>
        </w:rPr>
        <w:t>и № 38 «Блок дверной» Заказчиком установлено соответствие ГОСТ 30970-2002, утратив</w:t>
      </w:r>
      <w:r>
        <w:rPr>
          <w:rStyle w:val="CharStyle18"/>
        </w:rPr>
        <w:t>ши</w:t>
      </w:r>
      <w:r>
        <w:rPr>
          <w:lang w:val="ru-RU" w:eastAsia="ru-RU" w:bidi="ru-RU"/>
          <w:w w:val="100"/>
          <w:spacing w:val="0"/>
          <w:color w:val="000000"/>
          <w:position w:val="0"/>
        </w:rPr>
        <w:t>й свою силу.</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Вместе с тем, документация об Аукционе не содержит обоснование необходимости использования Заказчиком при описании объекта закупки показателей характеристик товаров, определенных утратив</w:t>
      </w:r>
      <w:r>
        <w:rPr>
          <w:rStyle w:val="CharStyle18"/>
        </w:rPr>
        <w:t>ши</w:t>
      </w:r>
      <w:r>
        <w:rPr>
          <w:lang w:val="ru-RU" w:eastAsia="ru-RU" w:bidi="ru-RU"/>
          <w:w w:val="100"/>
          <w:spacing w:val="0"/>
          <w:color w:val="000000"/>
          <w:position w:val="0"/>
        </w:rPr>
        <w:t>ми силу ГОСТ.</w:t>
      </w:r>
    </w:p>
    <w:p>
      <w:pPr>
        <w:pStyle w:val="Style8"/>
        <w:widowControl w:val="0"/>
        <w:keepNext w:val="0"/>
        <w:keepLines w:val="0"/>
        <w:shd w:val="clear" w:color="auto" w:fill="auto"/>
        <w:bidi w:val="0"/>
        <w:jc w:val="both"/>
        <w:spacing w:before="0" w:after="60" w:line="322" w:lineRule="exact"/>
        <w:ind w:left="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8"/>
        <w:numPr>
          <w:ilvl w:val="0"/>
          <w:numId w:val="7"/>
        </w:numPr>
        <w:tabs>
          <w:tab w:leader="none" w:pos="1306" w:val="lef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По мнению Заявителя Заказчиком в документации об Аукционе ненадлежащим образом составлена Инструкция по заполнению заявок участников Аукциона.</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изменяются.</w:t>
      </w:r>
    </w:p>
    <w:p>
      <w:pPr>
        <w:pStyle w:val="Style8"/>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Неустановление Заказчиком надлежащей Инструкции по заполнению заявки может привести возникновению у участников закупки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pPr>
        <w:pStyle w:val="Style8"/>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Вместе в тем, положения Закона о контрактной системе не предусматривают требований к определению конкретной формы инструкции.</w:t>
      </w:r>
    </w:p>
    <w:p>
      <w:pPr>
        <w:pStyle w:val="Style8"/>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Комиссия, изучив «ИНСТРУКЦИЮ УЧАСТНИКУ ЗАКУПКИ ПО ЗАПОЛНЕНИЮ ЗАЯВКИ НА УЧАСТИЕ В АУКЦИОНЕ В ЭЛЕКТРОННОМ ФОРМЕ», содержащуюся в документации об Аукционе, установила, что инструкция по заполнению первых частей заявок участников не содержит описание действий участника закупки при использовании Заказчиком обозначения (знака) «около», установленного Заказчиком в значении показателя </w:t>
      </w:r>
      <w:r>
        <w:rPr>
          <w:rStyle w:val="CharStyle19"/>
        </w:rPr>
        <w:t>«Грануляция зерна</w:t>
      </w:r>
      <w:r>
        <w:rPr>
          <w:lang w:val="ru-RU" w:eastAsia="ru-RU" w:bidi="ru-RU"/>
          <w:w w:val="100"/>
          <w:spacing w:val="0"/>
          <w:color w:val="000000"/>
          <w:position w:val="0"/>
        </w:rPr>
        <w:t xml:space="preserve"> около 1,5 мм» по номенклатурной позиции № 66 «Штукатурка», а также действий участника закупки в данном случае</w:t>
      </w:r>
      <w:r>
        <w:rPr>
          <w:rStyle w:val="CharStyle20"/>
        </w:rPr>
        <w:t>.</w:t>
      </w:r>
    </w:p>
    <w:p>
      <w:pPr>
        <w:pStyle w:val="Style8"/>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Отсутствие надлежащей инструкции по заполнению заявки на участие в Аукционе ограничивает возможность участников закупки надлежаще подготовить заявку на участие в Аукционе.</w:t>
      </w:r>
    </w:p>
    <w:p>
      <w:pPr>
        <w:pStyle w:val="Style8"/>
        <w:widowControl w:val="0"/>
        <w:keepNext w:val="0"/>
        <w:keepLines w:val="0"/>
        <w:shd w:val="clear" w:color="auto" w:fill="auto"/>
        <w:bidi w:val="0"/>
        <w:jc w:val="both"/>
        <w:spacing w:before="0" w:after="64" w:line="322" w:lineRule="exact"/>
        <w:ind w:left="20" w:right="20" w:firstLine="860"/>
      </w:pPr>
      <w:r>
        <w:rPr>
          <w:lang w:val="ru-RU" w:eastAsia="ru-RU" w:bidi="ru-RU"/>
          <w:w w:val="100"/>
          <w:spacing w:val="0"/>
          <w:color w:val="000000"/>
          <w:position w:val="0"/>
        </w:rPr>
        <w:t>Действия Заказчика, не установившем в документации об Аукционе надлежащую инструкцию по заполнению заявки, нарушает требования пункта 2 части 1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8"/>
        <w:numPr>
          <w:ilvl w:val="0"/>
          <w:numId w:val="7"/>
        </w:numPr>
        <w:tabs>
          <w:tab w:leader="none" w:pos="1258" w:val="left"/>
        </w:tabs>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 xml:space="preserve">Согласно доводу жалобы Заказчиком размещено техническое задание документации об Аукционе в формате </w:t>
      </w:r>
      <w:r>
        <w:rPr>
          <w:lang w:val="en-US" w:eastAsia="en-US" w:bidi="en-US"/>
          <w:w w:val="100"/>
          <w:spacing w:val="0"/>
          <w:color w:val="000000"/>
          <w:position w:val="0"/>
        </w:rPr>
        <w:t xml:space="preserve">PDF, </w:t>
      </w:r>
      <w:r>
        <w:rPr>
          <w:lang w:val="ru-RU" w:eastAsia="ru-RU" w:bidi="ru-RU"/>
          <w:w w:val="100"/>
          <w:spacing w:val="0"/>
          <w:color w:val="000000"/>
          <w:position w:val="0"/>
        </w:rPr>
        <w:t>не обеспечивающее возможность его копирования.</w:t>
      </w:r>
    </w:p>
    <w:p>
      <w:pPr>
        <w:pStyle w:val="Style21"/>
        <w:widowControl w:val="0"/>
        <w:keepNext w:val="0"/>
        <w:keepLines w:val="0"/>
        <w:shd w:val="clear" w:color="auto" w:fill="auto"/>
        <w:bidi w:val="0"/>
        <w:spacing w:before="0" w:after="0"/>
        <w:ind w:left="20" w:right="20" w:firstLine="860"/>
      </w:pPr>
      <w:r>
        <w:rPr>
          <w:rStyle w:val="CharStyle23"/>
        </w:rPr>
        <w:t xml:space="preserve">В ходе заседания Комиссии представители Заказчика пояснили: </w:t>
      </w:r>
      <w:r>
        <w:rPr>
          <w:rStyle w:val="CharStyle24"/>
        </w:rPr>
        <w:t>«...</w:t>
      </w:r>
      <w:r>
        <w:rPr>
          <w:rStyle w:val="CharStyle23"/>
        </w:rPr>
        <w:t xml:space="preserve"> </w:t>
      </w:r>
      <w:r>
        <w:rPr>
          <w:lang w:val="ru-RU" w:eastAsia="ru-RU" w:bidi="ru-RU"/>
          <w:w w:val="100"/>
          <w:spacing w:val="0"/>
          <w:color w:val="000000"/>
          <w:position w:val="0"/>
        </w:rPr>
        <w:t xml:space="preserve">Заявитель указывает, что документация электронного аукциона, в частности раздел </w:t>
      </w:r>
      <w:r>
        <w:rPr>
          <w:lang w:val="en-US" w:eastAsia="en-US" w:bidi="en-US"/>
          <w:w w:val="100"/>
          <w:spacing w:val="0"/>
          <w:color w:val="000000"/>
          <w:position w:val="0"/>
        </w:rPr>
        <w:t xml:space="preserve">II.II </w:t>
      </w:r>
      <w:r>
        <w:rPr>
          <w:lang w:val="ru-RU" w:eastAsia="ru-RU" w:bidi="ru-RU"/>
          <w:w w:val="100"/>
          <w:spacing w:val="0"/>
          <w:color w:val="000000"/>
          <w:position w:val="0"/>
        </w:rPr>
        <w:t xml:space="preserve">«Сведения о товарах (материалах) используемых при выполнении работ» размещены в формате </w:t>
      </w:r>
      <w:r>
        <w:rPr>
          <w:lang w:val="en-US" w:eastAsia="en-US" w:bidi="en-US"/>
          <w:w w:val="100"/>
          <w:spacing w:val="0"/>
          <w:color w:val="000000"/>
          <w:position w:val="0"/>
        </w:rPr>
        <w:t xml:space="preserve">PDF, </w:t>
      </w:r>
      <w:r>
        <w:rPr>
          <w:lang w:val="ru-RU" w:eastAsia="ru-RU" w:bidi="ru-RU"/>
          <w:w w:val="100"/>
          <w:spacing w:val="0"/>
          <w:color w:val="000000"/>
          <w:position w:val="0"/>
        </w:rPr>
        <w:t>что не соответствует письму ФАС России от 30.06.2014 №АЦ/26237/14.</w:t>
      </w:r>
    </w:p>
    <w:p>
      <w:pPr>
        <w:pStyle w:val="Style21"/>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Однако указанный документ не запрещает публиковать документы в формате </w:t>
      </w:r>
      <w:r>
        <w:rPr>
          <w:lang w:val="en-US" w:eastAsia="en-US" w:bidi="en-US"/>
          <w:w w:val="100"/>
          <w:spacing w:val="0"/>
          <w:color w:val="000000"/>
          <w:position w:val="0"/>
        </w:rPr>
        <w:t xml:space="preserve">PDF, </w:t>
      </w:r>
      <w:r>
        <w:rPr>
          <w:lang w:val="ru-RU" w:eastAsia="ru-RU" w:bidi="ru-RU"/>
          <w:w w:val="100"/>
          <w:spacing w:val="0"/>
          <w:color w:val="000000"/>
          <w:position w:val="0"/>
        </w:rPr>
        <w:t>а говорит о том, что документация о закупке, должна быть размещена заказчиком на Официальном сайте, без огранич ения для ознакомления и должна обеспечиваться возможность копирования фрагментов из документа.</w:t>
      </w:r>
    </w:p>
    <w:p>
      <w:pPr>
        <w:pStyle w:val="Style21"/>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Документация об Аукционе, в том числе и требования к материалам, размещены в формате, позволяющим копирование фрагментов текста и позволяет осуществить поиск по тексту.</w:t>
      </w:r>
    </w:p>
    <w:p>
      <w:pPr>
        <w:pStyle w:val="Style21"/>
        <w:widowControl w:val="0"/>
        <w:keepNext w:val="0"/>
        <w:keepLines w:val="0"/>
        <w:shd w:val="clear" w:color="auto" w:fill="auto"/>
        <w:bidi w:val="0"/>
        <w:spacing w:before="0" w:after="6"/>
        <w:ind w:left="20" w:right="20" w:firstLine="860"/>
      </w:pPr>
      <w:r>
        <w:rPr>
          <w:lang w:val="ru-RU" w:eastAsia="ru-RU" w:bidi="ru-RU"/>
          <w:w w:val="100"/>
          <w:spacing w:val="0"/>
          <w:color w:val="000000"/>
          <w:position w:val="0"/>
        </w:rPr>
        <w:t>Кроме того, по данному вопросу было дано два разъяснения. Согласно последнему, Заказчиком указано «Документация об Аукционе, в том числе и ТЕХНИЧЕСКОЕ ЗАДАНИЕ, размещены в формате, позволяющим осуществить копирование фрагментов текста и позволяет осуществить поиск по тексту.</w:t>
      </w:r>
    </w:p>
    <w:p>
      <w:pPr>
        <w:pStyle w:val="Style21"/>
        <w:widowControl w:val="0"/>
        <w:keepNext w:val="0"/>
        <w:keepLines w:val="0"/>
        <w:shd w:val="clear" w:color="auto" w:fill="auto"/>
        <w:bidi w:val="0"/>
        <w:spacing w:before="0" w:after="0" w:line="317" w:lineRule="exact"/>
        <w:ind w:left="20" w:right="0" w:firstLine="0"/>
      </w:pPr>
      <w:r>
        <w:rPr>
          <w:lang w:val="ru-RU" w:eastAsia="ru-RU" w:bidi="ru-RU"/>
          <w:w w:val="100"/>
          <w:spacing w:val="0"/>
          <w:color w:val="000000"/>
          <w:position w:val="0"/>
        </w:rPr>
        <w:t xml:space="preserve">Более того, указанные документы участник самостоятельно может открыть в формате </w:t>
      </w:r>
      <w:r>
        <w:rPr>
          <w:lang w:val="en-US" w:eastAsia="en-US" w:bidi="en-US"/>
          <w:w w:val="100"/>
          <w:spacing w:val="0"/>
          <w:color w:val="000000"/>
          <w:position w:val="0"/>
        </w:rPr>
        <w:t xml:space="preserve">«word» </w:t>
      </w:r>
      <w:r>
        <w:rPr>
          <w:lang w:val="ru-RU" w:eastAsia="ru-RU" w:bidi="ru-RU"/>
          <w:w w:val="100"/>
          <w:spacing w:val="0"/>
          <w:color w:val="000000"/>
          <w:position w:val="0"/>
        </w:rPr>
        <w:t>...</w:t>
      </w:r>
      <w:r>
        <w:rPr>
          <w:rStyle w:val="CharStyle23"/>
        </w:rPr>
        <w:t>»</w:t>
      </w:r>
    </w:p>
    <w:p>
      <w:pPr>
        <w:pStyle w:val="Style8"/>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(цитата письменных пояснений).</w:t>
      </w:r>
    </w:p>
    <w:p>
      <w:pPr>
        <w:pStyle w:val="Style8"/>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Комиссией установлено, что документация об Аукционе размещена в формате, позволяющем осуществить копирование фрагментов текста и позволяет осуществить поиск по тексту.</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не предоставил объективных доказательств, свидетельствующих о том, что данным условием Заказчик ограничил круг участников Аукциона.</w:t>
      </w:r>
    </w:p>
    <w:p>
      <w:pPr>
        <w:pStyle w:val="Style8"/>
        <w:widowControl w:val="0"/>
        <w:keepNext w:val="0"/>
        <w:keepLines w:val="0"/>
        <w:shd w:val="clear" w:color="auto" w:fill="auto"/>
        <w:bidi w:val="0"/>
        <w:jc w:val="both"/>
        <w:spacing w:before="0" w:after="60" w:line="322" w:lineRule="exact"/>
        <w:ind w:left="0" w:right="20" w:firstLine="860"/>
      </w:pPr>
      <w:r>
        <w:rPr>
          <w:lang w:val="ru-RU" w:eastAsia="ru-RU" w:bidi="ru-RU"/>
          <w:w w:val="100"/>
          <w:spacing w:val="0"/>
          <w:color w:val="000000"/>
          <w:position w:val="0"/>
        </w:rPr>
        <w:t>При таких обстоятельствах Комиссия приходит к выводу о том, что довод Заявителя о наличии признаков ограничения конкуренции при размещении данной закупки является необоснованным.</w:t>
      </w:r>
    </w:p>
    <w:p>
      <w:pPr>
        <w:pStyle w:val="Style8"/>
        <w:numPr>
          <w:ilvl w:val="0"/>
          <w:numId w:val="7"/>
        </w:numPr>
        <w:tabs>
          <w:tab w:leader="none" w:pos="1200" w:val="lef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Внеплановая проверка процедуры закупки в соответствии с частью 15 статьи 99 Закона о контрактной системе, пунктом 3.30 Административного регламента от 19.11.2014 №727/14, Комиссией не проводится ввиду проведения данной проверки при рассмотрении материалов дела №06/4227-17 по жалобе ООО «НовТехСтрой» на действия Заказчика при проведении Аукциона.</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По результатам проверки Комиссия решением от 13.11.2017 по делу №06/4227-17 признала Заказчика нарушившим требования частей 5, 7, 8 статьи 34, пункта 2 части 1 статьи 64, пункта 3 части 3 статьи 66, части 6 статьи 66 Закона о контрактной системе, пунктов 2-10 Правил от 30.08.2017 № 1042 Закона о контрактной системе.</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Заказчику выдано предписание от 13.11.2017 по делу №06/4227-17 об устранении нарушений законодательства Российской Федерации о контрактной системе в сфере закупок, в части при заключении государственного контракта по результатам проведения Аукциона привести положения государственного контракта в соответствие с положениями законодательства Российской Федерации о контрактной системе в сфере закупок и с учетом решения от 13.11.2017 по делу №06/4227-17.</w:t>
      </w:r>
    </w:p>
    <w:p>
      <w:pPr>
        <w:pStyle w:val="Style8"/>
        <w:widowControl w:val="0"/>
        <w:keepNext w:val="0"/>
        <w:keepLines w:val="0"/>
        <w:shd w:val="clear" w:color="auto" w:fill="auto"/>
        <w:bidi w:val="0"/>
        <w:jc w:val="both"/>
        <w:spacing w:before="0" w:after="60" w:line="322" w:lineRule="exact"/>
        <w:ind w:left="0" w:right="20" w:firstLine="860"/>
      </w:pPr>
      <w:r>
        <w:rPr>
          <w:lang w:val="ru-RU" w:eastAsia="ru-RU" w:bidi="ru-RU"/>
          <w:w w:val="100"/>
          <w:spacing w:val="0"/>
          <w:color w:val="000000"/>
          <w:position w:val="0"/>
        </w:rPr>
        <w:t>Решением от 13.11.2017 по делу №06/4227-17 материалы дела №06/4227-17 переданы соответствующему должностному лицу Крымского УФАС России для рассмотрения вопроса о возбуждении дела об административном правонарушении.</w:t>
      </w:r>
    </w:p>
    <w:p>
      <w:pPr>
        <w:pStyle w:val="Style8"/>
        <w:widowControl w:val="0"/>
        <w:keepNext w:val="0"/>
        <w:keepLines w:val="0"/>
        <w:shd w:val="clear" w:color="auto" w:fill="auto"/>
        <w:bidi w:val="0"/>
        <w:jc w:val="both"/>
        <w:spacing w:before="0" w:after="109" w:line="322" w:lineRule="exact"/>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8"/>
        <w:widowControl w:val="0"/>
        <w:keepNext w:val="0"/>
        <w:keepLines w:val="0"/>
        <w:shd w:val="clear" w:color="auto" w:fill="auto"/>
        <w:bidi w:val="0"/>
        <w:jc w:val="center"/>
        <w:spacing w:before="0" w:after="117" w:line="260" w:lineRule="exact"/>
        <w:ind w:left="20" w:right="0" w:firstLine="0"/>
      </w:pPr>
      <w:r>
        <w:rPr>
          <w:lang w:val="ru-RU" w:eastAsia="ru-RU" w:bidi="ru-RU"/>
          <w:w w:val="100"/>
          <w:spacing w:val="0"/>
          <w:color w:val="000000"/>
          <w:position w:val="0"/>
        </w:rPr>
        <w:t>РЕШИЛА:</w:t>
      </w:r>
    </w:p>
    <w:p>
      <w:pPr>
        <w:pStyle w:val="Style8"/>
        <w:numPr>
          <w:ilvl w:val="0"/>
          <w:numId w:val="11"/>
        </w:numPr>
        <w:widowControl w:val="0"/>
        <w:keepNext w:val="0"/>
        <w:keepLines w:val="0"/>
        <w:shd w:val="clear" w:color="auto" w:fill="auto"/>
        <w:bidi w:val="0"/>
        <w:jc w:val="both"/>
        <w:spacing w:before="0" w:after="72" w:line="260" w:lineRule="exact"/>
        <w:ind w:left="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8"/>
        <w:numPr>
          <w:ilvl w:val="0"/>
          <w:numId w:val="11"/>
        </w:numPr>
        <w:widowControl w:val="0"/>
        <w:keepNext w:val="0"/>
        <w:keepLines w:val="0"/>
        <w:shd w:val="clear" w:color="auto" w:fill="auto"/>
        <w:bidi w:val="0"/>
        <w:jc w:val="both"/>
        <w:spacing w:before="0" w:after="56" w:line="317" w:lineRule="exact"/>
        <w:ind w:left="0" w:right="20" w:firstLine="860"/>
      </w:pPr>
      <w:r>
        <w:rPr>
          <w:lang w:val="ru-RU" w:eastAsia="ru-RU" w:bidi="ru-RU"/>
          <w:w w:val="100"/>
          <w:spacing w:val="0"/>
          <w:color w:val="000000"/>
          <w:position w:val="0"/>
        </w:rPr>
        <w:t xml:space="preserve"> Признать Заказчика нарушившим требования частей пункта 2 части 1 статьи 64, части 6 статьи 66 Закона о контрактной системе.</w:t>
      </w:r>
    </w:p>
    <w:p>
      <w:pPr>
        <w:pStyle w:val="Style8"/>
        <w:numPr>
          <w:ilvl w:val="0"/>
          <w:numId w:val="11"/>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Заказчику предписание об устранении нарушений законодательства Российской Федерации о контрактной системе в сфере закупок не выдавать, т.к. по установленным нарушениям выдано предписание по делу №06/4227-17.</w:t>
      </w:r>
      <w:r>
        <w:br w:type="page"/>
      </w:r>
    </w:p>
    <w:p>
      <w:pPr>
        <w:pStyle w:val="Style8"/>
        <w:numPr>
          <w:ilvl w:val="0"/>
          <w:numId w:val="11"/>
        </w:numPr>
        <w:widowControl w:val="0"/>
        <w:keepNext w:val="0"/>
        <w:keepLines w:val="0"/>
        <w:shd w:val="clear" w:color="auto" w:fill="auto"/>
        <w:bidi w:val="0"/>
        <w:jc w:val="both"/>
        <w:spacing w:before="0" w:after="49" w:line="317" w:lineRule="exact"/>
        <w:ind w:left="0" w:right="20" w:firstLine="860"/>
      </w:pPr>
      <w:r>
        <w:rPr>
          <w:lang w:val="ru-RU" w:eastAsia="ru-RU" w:bidi="ru-RU"/>
          <w:w w:val="100"/>
          <w:spacing w:val="0"/>
          <w:color w:val="000000"/>
          <w:position w:val="0"/>
        </w:rPr>
        <w:t xml:space="preserve"> Материалы по делу №06/4281-17 соответствующему должностному лицу Крымского УФАС России для рассмотрения вопроса о возбуждении дела об административном правонарушении не передавать, в виду передачи материалов дела №06/4227-17.</w:t>
      </w:r>
    </w:p>
    <w:p>
      <w:pPr>
        <w:pStyle w:val="Style8"/>
        <w:numPr>
          <w:ilvl w:val="0"/>
          <w:numId w:val="11"/>
        </w:numPr>
        <w:widowControl w:val="0"/>
        <w:keepNext w:val="0"/>
        <w:keepLines w:val="0"/>
        <w:shd w:val="clear" w:color="auto" w:fill="auto"/>
        <w:bidi w:val="0"/>
        <w:jc w:val="both"/>
        <w:spacing w:before="0" w:after="64" w:line="331"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09.11.2017 №06/12785.</w:t>
      </w:r>
    </w:p>
    <w:p>
      <w:pPr>
        <w:pStyle w:val="Style8"/>
        <w:framePr w:w="2154" w:h="1934" w:wrap="around" w:vAnchor="text" w:hAnchor="margin" w:x="7727" w:y="975"/>
        <w:widowControl w:val="0"/>
        <w:keepNext w:val="0"/>
        <w:keepLines w:val="0"/>
        <w:shd w:val="clear" w:color="auto" w:fill="auto"/>
        <w:bidi w:val="0"/>
        <w:jc w:val="left"/>
        <w:spacing w:before="0" w:after="0" w:line="643" w:lineRule="exact"/>
        <w:ind w:left="100" w:right="140" w:firstLine="0"/>
      </w:pPr>
      <w:r>
        <w:rPr>
          <w:rStyle w:val="CharStyle12"/>
          <w:spacing w:val="0"/>
        </w:rPr>
        <w:t>М. С. Муравьёв Н. П. Казакова О. А. Шалимова</w:t>
      </w:r>
    </w:p>
    <w:p>
      <w:pPr>
        <w:pStyle w:val="Style8"/>
        <w:widowControl w:val="0"/>
        <w:keepNext w:val="0"/>
        <w:keepLines w:val="0"/>
        <w:shd w:val="clear" w:color="auto" w:fill="auto"/>
        <w:bidi w:val="0"/>
        <w:jc w:val="both"/>
        <w:spacing w:before="0" w:after="347" w:line="326"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8"/>
        <w:widowControl w:val="0"/>
        <w:keepNext w:val="0"/>
        <w:keepLines w:val="0"/>
        <w:shd w:val="clear" w:color="auto" w:fill="auto"/>
        <w:bidi w:val="0"/>
        <w:jc w:val="left"/>
        <w:spacing w:before="0" w:after="0" w:line="643" w:lineRule="exact"/>
        <w:ind w:left="0" w:right="3200" w:firstLine="0"/>
      </w:pPr>
      <w:r>
        <w:rPr>
          <w:lang w:val="ru-RU" w:eastAsia="ru-RU" w:bidi="ru-RU"/>
          <w:w w:val="100"/>
          <w:spacing w:val="0"/>
          <w:color w:val="000000"/>
          <w:position w:val="0"/>
        </w:rPr>
        <w:t>Председатель Комиссии Заместитель председателя Комиссии: Член Комиссии:</w:t>
      </w:r>
    </w:p>
    <w:sectPr>
      <w:type w:val="continuous"/>
      <w:pgSz w:w="11906" w:h="16838"/>
      <w:pgMar w:top="1436" w:left="910" w:right="752" w:bottom="87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w:basedOn w:val="CharStyle4"/>
    <w:rPr>
      <w:lang w:val="ru-RU" w:eastAsia="ru-RU" w:bidi="ru-RU"/>
      <w:u w:val="single"/>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5"/>
      <w:szCs w:val="15"/>
      <w:rFonts w:ascii="Times New Roman" w:eastAsia="Times New Roman" w:hAnsi="Times New Roman" w:cs="Times New Roman"/>
    </w:rPr>
  </w:style>
  <w:style w:type="character" w:customStyle="1" w:styleId="CharStyle9">
    <w:name w:val="Основной текст_"/>
    <w:basedOn w:val="DefaultParagraphFont"/>
    <w:link w:val="Style8"/>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4)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13">
    <w:name w:val="Основной текст + Интервал 4 pt"/>
    <w:basedOn w:val="CharStyle9"/>
    <w:rPr>
      <w:lang w:val="ru-RU" w:eastAsia="ru-RU" w:bidi="ru-RU"/>
      <w:w w:val="100"/>
      <w:spacing w:val="80"/>
      <w:color w:val="000000"/>
      <w:position w:val="0"/>
    </w:rPr>
  </w:style>
  <w:style w:type="character" w:customStyle="1" w:styleId="CharStyle14">
    <w:name w:val="Основной текст + 7,5 pt"/>
    <w:basedOn w:val="CharStyle9"/>
    <w:rPr>
      <w:lang w:val="ru-RU" w:eastAsia="ru-RU" w:bidi="ru-RU"/>
      <w:sz w:val="15"/>
      <w:szCs w:val="15"/>
      <w:w w:val="100"/>
      <w:spacing w:val="0"/>
      <w:color w:val="000000"/>
      <w:position w:val="0"/>
    </w:rPr>
  </w:style>
  <w:style w:type="character" w:customStyle="1" w:styleId="CharStyle15">
    <w:name w:val="Основной текст + 10,5 pt"/>
    <w:basedOn w:val="CharStyle9"/>
    <w:rPr>
      <w:lang w:val="ru-RU" w:eastAsia="ru-RU" w:bidi="ru-RU"/>
      <w:sz w:val="21"/>
      <w:szCs w:val="21"/>
      <w:w w:val="100"/>
      <w:spacing w:val="0"/>
      <w:color w:val="000000"/>
      <w:position w:val="0"/>
    </w:rPr>
  </w:style>
  <w:style w:type="character" w:customStyle="1" w:styleId="CharStyle16">
    <w:name w:val="Основной текст + 11 pt,Полужирный,Курсив"/>
    <w:basedOn w:val="CharStyle9"/>
    <w:rPr>
      <w:lang w:val="ru-RU" w:eastAsia="ru-RU" w:bidi="ru-RU"/>
      <w:b/>
      <w:bCs/>
      <w:i/>
      <w:iCs/>
      <w:sz w:val="22"/>
      <w:szCs w:val="22"/>
      <w:w w:val="100"/>
      <w:spacing w:val="0"/>
      <w:color w:val="000000"/>
      <w:position w:val="0"/>
    </w:rPr>
  </w:style>
  <w:style w:type="character" w:customStyle="1" w:styleId="CharStyle17">
    <w:name w:val="Основной текст + 10,5 pt,Курсив"/>
    <w:basedOn w:val="CharStyle9"/>
    <w:rPr>
      <w:lang w:val="ru-RU" w:eastAsia="ru-RU" w:bidi="ru-RU"/>
      <w:i/>
      <w:iCs/>
      <w:sz w:val="21"/>
      <w:szCs w:val="21"/>
      <w:w w:val="100"/>
      <w:spacing w:val="0"/>
      <w:color w:val="000000"/>
      <w:position w:val="0"/>
    </w:rPr>
  </w:style>
  <w:style w:type="character" w:customStyle="1" w:styleId="CharStyle18">
    <w:name w:val="Основной текст"/>
    <w:basedOn w:val="CharStyle9"/>
    <w:rPr>
      <w:lang w:val="ru-RU" w:eastAsia="ru-RU" w:bidi="ru-RU"/>
      <w:u w:val="single"/>
      <w:w w:val="100"/>
      <w:spacing w:val="0"/>
      <w:color w:val="000000"/>
      <w:position w:val="0"/>
    </w:rPr>
  </w:style>
  <w:style w:type="character" w:customStyle="1" w:styleId="CharStyle19">
    <w:name w:val="Основной текст + Курсив"/>
    <w:basedOn w:val="CharStyle9"/>
    <w:rPr>
      <w:lang w:val="ru-RU" w:eastAsia="ru-RU" w:bidi="ru-RU"/>
      <w:i/>
      <w:iCs/>
      <w:w w:val="100"/>
      <w:spacing w:val="0"/>
      <w:color w:val="000000"/>
      <w:position w:val="0"/>
    </w:rPr>
  </w:style>
  <w:style w:type="character" w:customStyle="1" w:styleId="CharStyle20">
    <w:name w:val="Основной текст"/>
    <w:basedOn w:val="CharStyle9"/>
    <w:rPr>
      <w:lang w:val="ru-RU" w:eastAsia="ru-RU" w:bidi="ru-RU"/>
      <w:w w:val="100"/>
      <w:spacing w:val="0"/>
      <w:color w:val="000000"/>
      <w:position w:val="0"/>
    </w:rPr>
  </w:style>
  <w:style w:type="character" w:customStyle="1" w:styleId="CharStyle22">
    <w:name w:val="Основной текст (5)_"/>
    <w:basedOn w:val="DefaultParagraphFont"/>
    <w:link w:val="Style21"/>
    <w:rPr>
      <w:b w:val="0"/>
      <w:bCs w:val="0"/>
      <w:i w:val="0"/>
      <w:iCs w:val="0"/>
      <w:u w:val="none"/>
      <w:strike w:val="0"/>
      <w:smallCaps w:val="0"/>
      <w:sz w:val="21"/>
      <w:szCs w:val="21"/>
      <w:rFonts w:ascii="Times New Roman" w:eastAsia="Times New Roman" w:hAnsi="Times New Roman" w:cs="Times New Roman"/>
    </w:rPr>
  </w:style>
  <w:style w:type="character" w:customStyle="1" w:styleId="CharStyle23">
    <w:name w:val="Основной текст (5) + 13 pt"/>
    <w:basedOn w:val="CharStyle22"/>
    <w:rPr>
      <w:lang w:val="ru-RU" w:eastAsia="ru-RU" w:bidi="ru-RU"/>
      <w:sz w:val="26"/>
      <w:szCs w:val="26"/>
      <w:w w:val="100"/>
      <w:spacing w:val="0"/>
      <w:color w:val="000000"/>
      <w:position w:val="0"/>
    </w:rPr>
  </w:style>
  <w:style w:type="character" w:customStyle="1" w:styleId="CharStyle24">
    <w:name w:val="Основной текст (5) + 13 pt,Интервал 1 pt"/>
    <w:basedOn w:val="CharStyle22"/>
    <w:rPr>
      <w:lang w:val="ru-RU" w:eastAsia="ru-RU" w:bidi="ru-RU"/>
      <w:sz w:val="26"/>
      <w:szCs w:val="26"/>
      <w:w w:val="100"/>
      <w:spacing w:val="3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83"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after="300" w:line="178"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spacing w:before="30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line="326" w:lineRule="exact"/>
    </w:pPr>
    <w:rPr>
      <w:b/>
      <w:bCs/>
      <w:i w:val="0"/>
      <w:iCs w:val="0"/>
      <w:u w:val="none"/>
      <w:strike w:val="0"/>
      <w:smallCaps w:val="0"/>
      <w:sz w:val="26"/>
      <w:szCs w:val="26"/>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jc w:val="both"/>
      <w:spacing w:line="25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