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149" w:h="3365" w:wrap="around" w:vAnchor="text" w:hAnchor="margin" w:x="73" w:y="164"/>
        <w:widowControl w:val="0"/>
        <w:keepNext w:val="0"/>
        <w:keepLines w:val="0"/>
        <w:shd w:val="clear" w:color="auto" w:fill="auto"/>
        <w:bidi w:val="0"/>
        <w:jc w:val="center"/>
        <w:spacing w:before="0" w:after="194" w:line="277" w:lineRule="exact"/>
        <w:ind w:left="20" w:right="0" w:firstLine="0"/>
      </w:pPr>
      <w:r>
        <w:rPr>
          <w:rStyle w:val="CharStyle4"/>
          <w:spacing w:val="0"/>
        </w:rPr>
        <w:t>ФЕДЕРАЛЬНАЯ АНТИМОНОПОЛЬНАЯ СЛУЖБА</w:t>
      </w:r>
    </w:p>
    <w:p>
      <w:pPr>
        <w:pStyle w:val="Style5"/>
        <w:framePr w:w="4149" w:h="3365" w:wrap="around" w:vAnchor="text" w:hAnchor="margin" w:x="73" w:y="164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framePr w:w="4149" w:h="3365" w:wrap="around" w:vAnchor="text" w:hAnchor="margin" w:x="73" w:y="164"/>
        <w:widowControl w:val="0"/>
        <w:keepNext w:val="0"/>
        <w:keepLines w:val="0"/>
        <w:shd w:val="clear" w:color="auto" w:fill="auto"/>
        <w:bidi w:val="0"/>
        <w:spacing w:before="0" w:after="89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Волгоградской области</w:t>
      </w:r>
    </w:p>
    <w:p>
      <w:pPr>
        <w:pStyle w:val="Style9"/>
        <w:framePr w:w="4149" w:h="3365" w:wrap="around" w:vAnchor="text" w:hAnchor="margin" w:x="73" w:y="164"/>
        <w:widowControl w:val="0"/>
        <w:keepNext w:val="0"/>
        <w:keepLines w:val="0"/>
        <w:shd w:val="clear" w:color="auto" w:fill="auto"/>
        <w:bidi w:val="0"/>
        <w:spacing w:before="0" w:after="196"/>
        <w:ind w:left="20" w:right="0" w:firstLine="0"/>
      </w:pPr>
      <w:r>
        <w:rPr>
          <w:rStyle w:val="CharStyle10"/>
          <w:spacing w:val="0"/>
        </w:rPr>
        <w:t xml:space="preserve">ул. 7-я Гвардейская, д. 12. Волгоград, 400005 тел. </w:t>
      </w:r>
      <w:r>
        <w:rPr>
          <w:rStyle w:val="CharStyle10"/>
          <w:lang w:val="en-US" w:eastAsia="en-US" w:bidi="en-US"/>
          <w:spacing w:val="0"/>
        </w:rPr>
        <w:t xml:space="preserve">(S442) </w:t>
      </w:r>
      <w:r>
        <w:rPr>
          <w:rStyle w:val="CharStyle10"/>
          <w:spacing w:val="0"/>
        </w:rPr>
        <w:t xml:space="preserve">24-22-65. факс (8442) 24-22-76 </w:t>
      </w:r>
      <w:r>
        <w:rPr>
          <w:rStyle w:val="CharStyle10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10"/>
        </w:rPr>
        <w:instrText> HYPERLINK "mailto:io34@fas.gov.ru"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io34@fas.gov.ru</w:t>
      </w:r>
      <w:r>
        <w:fldChar w:fldCharType="end"/>
      </w:r>
    </w:p>
    <w:p>
      <w:pPr>
        <w:pStyle w:val="Style11"/>
        <w:framePr w:w="4149" w:h="3365" w:wrap="around" w:vAnchor="text" w:hAnchor="margin" w:x="73" w:y="164"/>
        <w:tabs>
          <w:tab w:leader="none" w:pos="2025" w:val="center"/>
          <w:tab w:leader="none" w:pos="230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0" w:right="0" w:firstLine="0"/>
      </w:pPr>
      <w:r>
        <w:rPr>
          <w:rStyle w:val="CharStyle13"/>
          <w:spacing w:val="0"/>
        </w:rPr>
        <w:t>—</w:t>
      </w:r>
      <w:r>
        <w:rPr>
          <w:rStyle w:val="CharStyle13"/>
          <w:vertAlign w:val="superscript"/>
          <w:spacing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№</w:t>
        <w:tab/>
      </w:r>
      <w:r>
        <w:rPr>
          <w:rStyle w:val="CharStyle13"/>
          <w:lang w:val="en-US" w:eastAsia="en-US" w:bidi="en-US"/>
          <w:spacing w:val="0"/>
        </w:rPr>
        <w:t xml:space="preserve">rd4V </w:t>
      </w:r>
      <w:r>
        <w:rPr>
          <w:rStyle w:val="CharStyle13"/>
          <w:spacing w:val="0"/>
        </w:rPr>
        <w:t>С95Ч</w:t>
      </w:r>
    </w:p>
    <w:p>
      <w:pPr>
        <w:pStyle w:val="Style14"/>
        <w:framePr w:w="4149" w:h="3365" w:wrap="around" w:vAnchor="text" w:hAnchor="margin" w:x="73" w:y="164"/>
        <w:tabs>
          <w:tab w:leader="none" w:pos="2029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3"/>
        <w:ind w:left="1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«Астера» ул. Ленина, д. 44, г. Аксай, Ростовская обл. 346720 </w:t>
      </w:r>
      <w:r>
        <w:fldChar w:fldCharType="begin"/>
      </w:r>
      <w:r>
        <w:rPr>
          <w:rStyle w:val="CharStyle17"/>
        </w:rPr>
        <w:instrText> HYPERLINK "mailto:info@astera.pro" </w:instrText>
      </w:r>
      <w:r>
        <w:fldChar w:fldCharType="separate"/>
      </w:r>
      <w:r>
        <w:rPr>
          <w:rStyle w:val="Hyperlink"/>
        </w:rPr>
        <w:t>info@astera.pro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1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1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бюджетное учреждение центр реабилитации фонда социального страхования Российской Федерации «Волгоград» ул. Санаторная, д. 29, г. Волгоград, 400079 </w:t>
      </w:r>
      <w:r>
        <w:fldChar w:fldCharType="begin"/>
      </w:r>
      <w:r>
        <w:rPr>
          <w:rStyle w:val="CharStyle18"/>
        </w:rPr>
        <w:instrText> HYPERLINK "mailto:econom@volgosan.ru" </w:instrText>
      </w:r>
      <w:r>
        <w:fldChar w:fldCharType="separate"/>
      </w:r>
      <w:r>
        <w:rPr>
          <w:rStyle w:val="Hyperlink"/>
        </w:rPr>
        <w:t>econom@volgosan.ru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59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Электронная площадка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7" w:line="299" w:lineRule="exact"/>
        <w:ind w:left="5940" w:right="1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«РТС-Тендер» ул. Шевченко, д. 23А г. Москва, 121151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90"/>
        <w:ind w:left="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17-02/07-453</w:t>
      </w:r>
    </w:p>
    <w:p>
      <w:pPr>
        <w:pStyle w:val="Style3"/>
        <w:tabs>
          <w:tab w:leader="none" w:pos="85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01 ноября 2017 года</w:t>
        <w:tab/>
        <w:t>г. Волгоград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соблюдением^ законодательства о контрактной системе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 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Берендеева И.Ю.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4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Кострюковой И.Ю.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4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Крашенинникова Э.С. - представителя Федерального бюджетного учреждения центр реабилитации фонда социального страхования Российской Федерации «Волгоград» по доверенности от </w:t>
      </w:r>
      <w:r>
        <w:rPr>
          <w:rStyle w:val="CharStyle19"/>
        </w:rPr>
        <w:t>20</w:t>
      </w:r>
      <w:r>
        <w:rPr>
          <w:rStyle w:val="CharStyle20"/>
        </w:rPr>
        <w:t>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</w:t>
      </w:r>
      <w:r>
        <w:rPr>
          <w:rStyle w:val="CharStyle19"/>
        </w:rPr>
        <w:t>0.20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17 № </w:t>
      </w:r>
      <w:r>
        <w:rPr>
          <w:rStyle w:val="CharStyle21"/>
        </w:rPr>
        <w:t>64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8" w:line="295" w:lineRule="exact"/>
        <w:ind w:left="20" w:right="40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 № 17-06/07-453, возбужденного по жалобе ООО «Астера» на положения документации электронного аукциона «Поставка теплообменников» (номер извещения 0329100024617000238)</w:t>
      </w:r>
    </w:p>
    <w:p>
      <w:pPr>
        <w:pStyle w:val="Style22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6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005220</w:t>
      </w:r>
      <w:bookmarkEnd w:id="0"/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99" w:lineRule="exact"/>
        <w:ind w:left="0" w:right="3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26.10.2017 вх. эл. почта № 9798 поступила жалоба ООО «Астера» (далее - Заявитель) на положения документации электронного аукциона «Поставка теплообменников» (номер извещения 0329100024617000238).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1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жалобы, заявителем обжалуются положения документации электронного аукциона (номер извещения 0329100024617000238).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1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 в Томе 3 «Техническое задание» требования к техническим характеристикам товара, являющегося объектом закупки установлены не в полном объеме, что нарушает требования Федерального закона от 05.04.2013 года № 44-ФЗ «О контрактной системе в сфере закупок товаров и услуг, работ, услуг для обеспечения государственных и муниципальных нужд» (далее - Закона о контрактной системе) и приводит к ограничению количества участников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Представители Федерального бюджетного учреждения центр реабилитации фонда социального страхования Российской Федерации «Волгоград» (далее - Заказчик) возражали против заявленных требований, в удовлетворении жалобы просили отказать.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доводы, ознакомившись с представленными документами, и проведя внеплановую проверку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системе), Комиссия Управления пришла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10.10.2017 на официальном сайте Единой информационной системы было размещено извещение о проведении электронного аукциона «Поставка теплообменников» (номер извещения 0329100024617000238) с начальной (максимальной) ценой контракта 312 621,61 российских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пунктом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</w:t>
      </w:r>
      <w:r>
        <w:rPr>
          <w:rStyle w:val="CharStyle24"/>
        </w:rPr>
        <w:t>за исключением случаев несовместимости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товаров, на которых размещаются другие товарные знаки, и необходимости обеспечения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взаимодействия таких товаров с товарами, используемыми заказчиком, а также случаев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закупок запасных частей и расходных материалов к машинам и оборудованию,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4"/>
        </w:rPr>
        <w:t>используемым заказчиком,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 технической документацией на указанные машины и оборудование.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Требования, установленные в Томе 3 «Техническое задание» в полном объеме содержат характеристики, позволяющие определить соответствие потребностям заказчика.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описание объекта закупки не включены требования или указания в отношении товарных знаков, фирменных наименований, наименование происхождение товара или наименование производителя и иные требования, повлекшие за собой ограничение количества участников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пояснений Заказчика и представленных на заседание комиссии материалов следует, что размеры и характеристики товара в Томе 3 «Техническое задание» установлены с учетом потребностей заказчика.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Заявителем не представлены допустимые доказательства, подтверждающие факт нарушения законодательства о контрактной системе данными положениями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заявитель на заседание Комиссии не явился, и не представил доказательств, подтверждающих, что установленные Заказчиком требования к материалам и оборудованию, используемым при выполнении работ, ограничивают количество участников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требования, установленные заказчиком в Томе 3 «Техническое задание» не противоречат положениям действующего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комиссия Управления решила признать жалобу ООО «Астера» на положения документации электронного аукциона «Поставка теплообменников» (номер извещения 0329100024617000238)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результатам проведения внеплановой проверки закупки нарушений не выявлено.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главой 6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6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4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«Астера» на положения документации электронного аукциона «Поставка теплообменников» (номер извещения 0329100024617000238)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794" w:line="594" w:lineRule="exact"/>
        <w:ind w:left="40" w:right="37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40" w:right="9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А.А. 8442) 24 22 64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295" w:left="729" w:right="704" w:bottom="108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2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"/>
    </w:rPr>
  </w:style>
  <w:style w:type="character" w:customStyle="1" w:styleId="CharStyle8">
    <w:name w:val="Основной текст (3) Exact"/>
    <w:basedOn w:val="DefaultParagraphFont"/>
    <w:link w:val="Style7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character" w:customStyle="1" w:styleId="CharStyle10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12">
    <w:name w:val="Основной текст (5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character" w:customStyle="1" w:styleId="CharStyle13">
    <w:name w:val="Основной текст (5) Exact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5">
    <w:name w:val="Основной текст (6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4"/>
    </w:rPr>
  </w:style>
  <w:style w:type="character" w:customStyle="1" w:styleId="CharStyle16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16"/>
    <w:rPr>
      <w:lang w:val="en-US" w:eastAsia="en-US" w:bidi="en-US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"/>
    <w:basedOn w:val="CharStyle1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+ 8,5 pt,Полужирный"/>
    <w:basedOn w:val="CharStyle16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21">
    <w:name w:val="Основной текст"/>
    <w:basedOn w:val="CharStyle1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Заголовок №1_"/>
    <w:basedOn w:val="DefaultParagraphFont"/>
    <w:link w:val="Style22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24">
    <w:name w:val="Основной текст"/>
    <w:basedOn w:val="CharStyle16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16"/>
    <w:pPr>
      <w:widowControl w:val="0"/>
      <w:shd w:val="clear" w:color="auto" w:fill="FFFFFF"/>
      <w:spacing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4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paragraph" w:customStyle="1" w:styleId="Style9">
    <w:name w:val="Основной текст (4)"/>
    <w:basedOn w:val="Normal"/>
    <w:link w:val="CharStyle25"/>
    <w:pPr>
      <w:widowControl w:val="0"/>
      <w:shd w:val="clear" w:color="auto" w:fill="FFFFFF"/>
      <w:jc w:val="center"/>
      <w:spacing w:before="60" w:after="36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jc w:val="both"/>
      <w:spacing w:before="360" w:line="41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jc w:val="both"/>
      <w:spacing w:line="41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4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FFFFFF"/>
      <w:jc w:val="right"/>
      <w:outlineLvl w:val="0"/>
      <w:spacing w:before="36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