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51" w:y="1338"/>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51" w:y="133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51" w:y="133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835"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320" w:firstLine="0"/>
      </w:pPr>
      <w:r>
        <w:rPr>
          <w:lang w:val="ru-RU" w:eastAsia="ru-RU" w:bidi="ru-RU"/>
          <w:w w:val="100"/>
          <w:spacing w:val="0"/>
          <w:color w:val="000000"/>
          <w:position w:val="0"/>
        </w:rPr>
        <w:t>Государственное бюджетное учреждение здравоохранения Республики Крым «Симферопольская городская детская клиническая больница»</w:t>
      </w:r>
    </w:p>
    <w:p>
      <w:pPr>
        <w:pStyle w:val="Style7"/>
        <w:framePr w:w="2858" w:h="1122" w:wrap="around" w:vAnchor="text" w:hAnchor="margin" w:x="3" w:y="-136"/>
        <w:widowControl w:val="0"/>
        <w:keepNext w:val="0"/>
        <w:keepLines w:val="0"/>
        <w:shd w:val="clear" w:color="auto" w:fill="auto"/>
        <w:bidi w:val="0"/>
        <w:jc w:val="both"/>
        <w:spacing w:before="0" w:after="0" w:line="562" w:lineRule="exact"/>
        <w:ind w:left="0" w:right="220" w:firstLine="0"/>
      </w:pPr>
      <w:r>
        <w:rPr>
          <w:rStyle w:val="CharStyle8"/>
          <w:spacing w:val="0"/>
        </w:rPr>
        <w:t>02.11.2017 №06/12559 На № б/н от 26.10.2017</w:t>
      </w:r>
    </w:p>
    <w:p>
      <w:pPr>
        <w:pStyle w:val="Style7"/>
        <w:widowControl w:val="0"/>
        <w:keepNext w:val="0"/>
        <w:keepLines w:val="0"/>
        <w:shd w:val="clear" w:color="auto" w:fill="auto"/>
        <w:bidi w:val="0"/>
        <w:jc w:val="left"/>
        <w:spacing w:before="0" w:after="300"/>
        <w:ind w:left="2200" w:right="1160" w:firstLine="0"/>
      </w:pPr>
      <w:r>
        <w:rPr>
          <w:lang w:val="ru-RU" w:eastAsia="ru-RU" w:bidi="ru-RU"/>
          <w:w w:val="100"/>
          <w:spacing w:val="0"/>
          <w:color w:val="000000"/>
          <w:position w:val="0"/>
        </w:rPr>
        <w:t>295026, Республика Крым, г. Симферополь, ул. Семашко, д. 6</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80" w:right="32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295034, Республика Крым,</w:t>
      </w:r>
    </w:p>
    <w:p>
      <w:pPr>
        <w:pStyle w:val="Style7"/>
        <w:widowControl w:val="0"/>
        <w:keepNext w:val="0"/>
        <w:keepLines w:val="0"/>
        <w:shd w:val="clear" w:color="auto" w:fill="auto"/>
        <w:bidi w:val="0"/>
        <w:jc w:val="left"/>
        <w:spacing w:before="0" w:after="349"/>
        <w:ind w:left="4980" w:right="0" w:firstLine="0"/>
      </w:pPr>
      <w:r>
        <w:rPr>
          <w:lang w:val="ru-RU" w:eastAsia="ru-RU" w:bidi="ru-RU"/>
          <w:w w:val="100"/>
          <w:spacing w:val="0"/>
          <w:color w:val="000000"/>
          <w:position w:val="0"/>
        </w:rPr>
        <w:t>г. Симферополь, пр. Кирова, д. 13</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4980" w:right="320" w:firstLine="0"/>
      </w:pPr>
      <w:r>
        <w:rPr>
          <w:lang w:val="ru-RU" w:eastAsia="ru-RU" w:bidi="ru-RU"/>
          <w:w w:val="100"/>
          <w:spacing w:val="0"/>
          <w:color w:val="000000"/>
          <w:position w:val="0"/>
        </w:rPr>
        <w:t>Общество с ограниченной ответственностью СК «Единство»</w:t>
      </w:r>
    </w:p>
    <w:p>
      <w:pPr>
        <w:pStyle w:val="Style7"/>
        <w:widowControl w:val="0"/>
        <w:keepNext w:val="0"/>
        <w:keepLines w:val="0"/>
        <w:shd w:val="clear" w:color="auto" w:fill="auto"/>
        <w:bidi w:val="0"/>
        <w:jc w:val="left"/>
        <w:spacing w:before="0" w:after="304"/>
        <w:ind w:left="4980" w:right="320" w:firstLine="0"/>
      </w:pPr>
      <w:r>
        <w:rPr>
          <w:lang w:val="ru-RU" w:eastAsia="ru-RU" w:bidi="ru-RU"/>
          <w:w w:val="100"/>
          <w:spacing w:val="0"/>
          <w:color w:val="000000"/>
          <w:position w:val="0"/>
        </w:rPr>
        <w:t>660075, г. Красноярск, ул. Красной Гвардии, д. 23</w:t>
      </w:r>
    </w:p>
    <w:p>
      <w:pPr>
        <w:pStyle w:val="Style7"/>
        <w:numPr>
          <w:ilvl w:val="0"/>
          <w:numId w:val="1"/>
        </w:numPr>
        <w:widowControl w:val="0"/>
        <w:keepNext w:val="0"/>
        <w:keepLines w:val="0"/>
        <w:shd w:val="clear" w:color="auto" w:fill="auto"/>
        <w:bidi w:val="0"/>
        <w:jc w:val="left"/>
        <w:spacing w:before="0" w:after="0" w:line="317" w:lineRule="exact"/>
        <w:ind w:left="4980" w:right="320" w:firstLine="0"/>
      </w:pPr>
      <w:r>
        <w:rPr>
          <w:lang w:val="ru-RU" w:eastAsia="ru-RU" w:bidi="ru-RU"/>
          <w:w w:val="100"/>
          <w:spacing w:val="0"/>
          <w:color w:val="000000"/>
          <w:position w:val="0"/>
        </w:rPr>
        <w:t xml:space="preserve"> Общество с ограниченной ответственностью «РТС-тендер»</w:t>
      </w:r>
    </w:p>
    <w:p>
      <w:pPr>
        <w:pStyle w:val="Style7"/>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183" w:line="260" w:lineRule="exact"/>
        <w:ind w:left="498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229"/>
        <w:ind w:left="0" w:right="20" w:firstLine="0"/>
      </w:pPr>
      <w:r>
        <w:rPr>
          <w:lang w:val="ru-RU" w:eastAsia="ru-RU" w:bidi="ru-RU"/>
          <w:w w:val="100"/>
          <w:spacing w:val="0"/>
          <w:color w:val="000000"/>
          <w:position w:val="0"/>
        </w:rPr>
        <w:t>Решение по делу №06/4102-17 о нарушении законодательства Российской Федерации о контрактной системе в сфере закупок</w:t>
      </w:r>
    </w:p>
    <w:p>
      <w:pPr>
        <w:pStyle w:val="Style7"/>
        <w:tabs>
          <w:tab w:leader="none" w:pos="8123" w:val="center"/>
          <w:tab w:leader="none" w:pos="8390" w:val="left"/>
        </w:tabs>
        <w:widowControl w:val="0"/>
        <w:keepNext w:val="0"/>
        <w:keepLines w:val="0"/>
        <w:shd w:val="clear" w:color="auto" w:fill="auto"/>
        <w:bidi w:val="0"/>
        <w:jc w:val="both"/>
        <w:spacing w:before="0" w:after="193" w:line="260" w:lineRule="exact"/>
        <w:ind w:left="280" w:right="0" w:firstLine="0"/>
      </w:pPr>
      <w:r>
        <w:rPr>
          <w:lang w:val="ru-RU" w:eastAsia="ru-RU" w:bidi="ru-RU"/>
          <w:w w:val="100"/>
          <w:spacing w:val="0"/>
          <w:color w:val="000000"/>
          <w:position w:val="0"/>
        </w:rPr>
        <w:t>31.10.2017</w:t>
        <w:tab/>
        <w:t>г.</w:t>
        <w:tab/>
        <w:t>Симферополь</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r>
        <w:br w:type="page"/>
      </w:r>
    </w:p>
    <w:p>
      <w:pPr>
        <w:pStyle w:val="Style7"/>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Уполномоченного органа Е. В. Купаревой (по доверенности),</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Заказчика Г. Р. Адилгазиевой (по доверенности), И. В. Лазаревой (по доверенности),</w:t>
      </w:r>
    </w:p>
    <w:p>
      <w:pPr>
        <w:pStyle w:val="Style7"/>
        <w:tabs>
          <w:tab w:leader="none" w:pos="10206"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26.10.2017 (вх. №4687/09 от 26.10.2017) на действия Единой комиссии Уполномоченного органа при проведении электронного аукциона « Капитальный ремонт здания городской детской поликлиники ГБУЗ РК "Симферопольская городская детская клиническая больница" по адресу: г. Симферополь, ул. Семашко,6» (номер извещения 0175200000417000416) (далее — Аукцион), в соответствии со статьей 106 Федерального закона от 05.04.2013 №44 - 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необоснованно отказавшей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27.10.2017 № 06/12187,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 извещение об осуществлении закупки размещено на официальном сайте — 12.09.2017, изменения - 26.09.2017;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- 47 165 100,00 рублей;</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17.10.2017 08:00, дата окончания срока рассмотрения первых частей заявок участников: 24.10.2017, дата проведения Аукциона: 27.10.2017;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подана 21 заявка, из них 19 заявок признаны не соответствующими документации об Аукционе и Закону о контрактной системе - заявка под номером «19» (Заявитель);</w:t>
      </w:r>
    </w:p>
    <w:p>
      <w:pPr>
        <w:pStyle w:val="Style7"/>
        <w:numPr>
          <w:ilvl w:val="0"/>
          <w:numId w:val="3"/>
        </w:numPr>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2 участника, снижение от начальной (максимальной) цены контракта составило 1,00%.</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w:t>
      </w:r>
    </w:p>
    <w:p>
      <w:pPr>
        <w:pStyle w:val="Style7"/>
        <w:widowControl w:val="0"/>
        <w:keepNext w:val="0"/>
        <w:keepLines w:val="0"/>
        <w:shd w:val="clear" w:color="auto" w:fill="auto"/>
        <w:bidi w:val="0"/>
        <w:jc w:val="both"/>
        <w:spacing w:before="0" w:after="0"/>
        <w:ind w:left="20" w:right="180" w:firstLine="0"/>
      </w:pPr>
      <w:r>
        <w:rPr>
          <w:lang w:val="ru-RU" w:eastAsia="ru-RU" w:bidi="ru-RU"/>
          <w:w w:val="100"/>
          <w:spacing w:val="0"/>
          <w:color w:val="000000"/>
          <w:position w:val="0"/>
        </w:rPr>
        <w:t>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180" w:firstLine="84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180" w:firstLine="84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5"/>
        </w:numPr>
        <w:widowControl w:val="0"/>
        <w:keepNext w:val="0"/>
        <w:keepLines w:val="0"/>
        <w:shd w:val="clear" w:color="auto" w:fill="auto"/>
        <w:bidi w:val="0"/>
        <w:jc w:val="both"/>
        <w:spacing w:before="0" w:after="0"/>
        <w:ind w:left="20" w:right="180" w:firstLine="84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5"/>
        </w:numPr>
        <w:widowControl w:val="0"/>
        <w:keepNext w:val="0"/>
        <w:keepLines w:val="0"/>
        <w:shd w:val="clear" w:color="auto" w:fill="auto"/>
        <w:bidi w:val="0"/>
        <w:jc w:val="both"/>
        <w:spacing w:before="0" w:after="0"/>
        <w:ind w:left="20" w:right="180" w:firstLine="84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ind w:left="20" w:right="180" w:firstLine="84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12"/>
        <w:framePr w:w="10334"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24.10.2017 №0175200000417000416-1 закупки с порядковым номером </w:t>
      </w:r>
      <w:r>
        <w:rPr>
          <w:rStyle w:val="CharStyle14"/>
        </w:rPr>
        <w:t xml:space="preserve">заявки «19» (Заявитель) отказано в допуске _ к участию в Аукционе по причине: </w:t>
      </w:r>
      <w:r>
        <w:rPr>
          <w:rStyle w:val="CharStyle15"/>
        </w:rPr>
        <w:t>«...</w:t>
      </w:r>
    </w:p>
    <w:tbl>
      <w:tblPr>
        <w:tblOverlap w:val="never"/>
        <w:tblLayout w:type="fixed"/>
        <w:jc w:val="center"/>
      </w:tblPr>
      <w:tblGrid>
        <w:gridCol w:w="5222"/>
        <w:gridCol w:w="5112"/>
      </w:tblGrid>
      <w:tr>
        <w:trPr>
          <w:trHeight w:val="274" w:hRule="exact"/>
        </w:trPr>
        <w:tc>
          <w:tcPr>
            <w:shd w:val="clear" w:color="auto" w:fill="FFFFFF"/>
            <w:tcBorders>
              <w:lef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10" w:lineRule="exact"/>
              <w:ind w:left="20" w:right="0" w:firstLine="0"/>
            </w:pPr>
            <w:r>
              <w:rPr>
                <w:rStyle w:val="CharStyle18"/>
              </w:rPr>
              <w:t>Порядковый номер заявки</w:t>
            </w:r>
          </w:p>
        </w:tc>
        <w:tc>
          <w:tcPr>
            <w:shd w:val="clear" w:color="auto" w:fill="FFFFFF"/>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8"/>
              </w:rPr>
              <w:t>Заявка № 19</w:t>
            </w:r>
          </w:p>
        </w:tc>
      </w:tr>
      <w:tr>
        <w:trPr>
          <w:trHeight w:val="269" w:hRule="exact"/>
        </w:trPr>
        <w:tc>
          <w:tcPr>
            <w:shd w:val="clear" w:color="auto" w:fill="FFFFFF"/>
            <w:tcBorders>
              <w:lef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10" w:lineRule="exact"/>
              <w:ind w:left="20" w:right="0" w:firstLine="0"/>
            </w:pPr>
            <w:r>
              <w:rPr>
                <w:rStyle w:val="CharStyle18"/>
              </w:rPr>
              <w:t>Статус допуска участника</w:t>
            </w:r>
          </w:p>
        </w:tc>
        <w:tc>
          <w:tcPr>
            <w:shd w:val="clear" w:color="auto" w:fill="FFFFFF"/>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8"/>
              </w:rPr>
              <w:t>Отказ в допуске</w:t>
            </w:r>
          </w:p>
        </w:tc>
      </w:tr>
      <w:tr>
        <w:trPr>
          <w:trHeight w:val="274" w:hRule="exact"/>
        </w:trPr>
        <w:tc>
          <w:tcPr>
            <w:shd w:val="clear" w:color="auto" w:fill="FFFFFF"/>
            <w:gridSpan w:val="2"/>
            <w:tcBorders>
              <w:left w:val="single" w:sz="4"/>
              <w:right w:val="single" w:sz="4"/>
              <w:top w:val="single" w:sz="4"/>
              <w:bottom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10" w:lineRule="exact"/>
              <w:ind w:left="20" w:right="0" w:firstLine="0"/>
            </w:pPr>
            <w:r>
              <w:rPr>
                <w:rStyle w:val="CharStyle18"/>
              </w:rPr>
              <w:t>Обоснование принятого решения</w:t>
            </w:r>
          </w:p>
        </w:tc>
      </w:tr>
    </w:tbl>
    <w:p>
      <w:pPr>
        <w:pStyle w:val="Style16"/>
        <w:framePr w:w="10334"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 соответствии с п.2 ч.4 ст.67 Закона 44-ФЗ, а именно: несоответствие в первой части заявки участника информации, предусмотренной п.п. б) п.3 ч.3 ст.66 Закона №44-ФЗ, п.1.1. ч.1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электронном аукционе:</w:t>
      </w:r>
    </w:p>
    <w:p>
      <w:pPr>
        <w:widowControl w:val="0"/>
        <w:rPr>
          <w:sz w:val="2"/>
          <w:szCs w:val="2"/>
        </w:rPr>
      </w:pPr>
    </w:p>
    <w:p>
      <w:pPr>
        <w:pStyle w:val="Style19"/>
        <w:numPr>
          <w:ilvl w:val="0"/>
          <w:numId w:val="7"/>
        </w:numPr>
        <w:tabs>
          <w:tab w:leader="none" w:pos="846" w:val="left"/>
        </w:tabs>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части 8.1.2 раздела VI документации об электронном аукционе если при описании показателей, для которых указаны минимальные и (или) максимальные значения, Заказчик использовал такие слова или знаки как: «более», «менее», «выше», «ниже», «&lt;» (означает «меньше»), «&gt;» (означает «больше»), «свыше», «св.», «не должен быть &lt;», «не должен быть &gt;»: участник закупки должен указать конкретное значение показателя, соответствующее установленным Заказчиком требованиям, при этом крайние границы не могут быть указаны в заявке участника закупки. Если Заказчиком установлено только минимальное значение - то более минимального, а если установлено только максимальное значение - то менее максимального.</w:t>
      </w:r>
    </w:p>
    <w:p>
      <w:pPr>
        <w:pStyle w:val="Style19"/>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В свою очередь участником электронного аукциона предложены следующие значения:</w:t>
      </w:r>
    </w:p>
    <w:p>
      <w:pPr>
        <w:pStyle w:val="Style19"/>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по номенклатурной позиции №49 - «Масса: 1 кг» (цитата из заявки) вместо требуемого заказчику «Масса: должна быть менее 1 кг»;</w:t>
      </w:r>
    </w:p>
    <w:p>
      <w:pPr>
        <w:pStyle w:val="Style19"/>
        <w:numPr>
          <w:ilvl w:val="0"/>
          <w:numId w:val="3"/>
        </w:numPr>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80" w:right="20" w:firstLine="540"/>
      </w:pPr>
      <w:r>
        <w:rPr>
          <w:lang w:val="ru-RU" w:eastAsia="ru-RU" w:bidi="ru-RU"/>
          <w:w w:val="100"/>
          <w:spacing w:val="0"/>
          <w:color w:val="000000"/>
          <w:position w:val="0"/>
        </w:rPr>
        <w:t xml:space="preserve"> по номенклатурной позиции №130 - «Номинальная ширина: будет 15 мм» (цитата из заявки) вместо требуемого заказчику «Номинальная ширина: не должна быть &lt; 15 мм»;</w:t>
      </w:r>
    </w:p>
    <w:p>
      <w:pPr>
        <w:pStyle w:val="Style19"/>
        <w:numPr>
          <w:ilvl w:val="0"/>
          <w:numId w:val="3"/>
        </w:numPr>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80" w:right="20" w:firstLine="540"/>
      </w:pPr>
      <w:r>
        <w:rPr>
          <w:lang w:val="ru-RU" w:eastAsia="ru-RU" w:bidi="ru-RU"/>
          <w:w w:val="100"/>
          <w:spacing w:val="0"/>
          <w:color w:val="000000"/>
          <w:position w:val="0"/>
        </w:rPr>
        <w:t xml:space="preserve"> по номенклатурной позиции №174 - «Номинальный диаметр: будет 4 мм» (цитата из заявки) вместо требуемого заказчику «Номинальный диаметр: не должен быть &lt; 4 мм».</w:t>
      </w:r>
    </w:p>
    <w:p>
      <w:pPr>
        <w:pStyle w:val="Style19"/>
        <w:numPr>
          <w:ilvl w:val="0"/>
          <w:numId w:val="7"/>
        </w:numPr>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80" w:right="20" w:firstLine="540"/>
      </w:pPr>
      <w:r>
        <w:rPr>
          <w:lang w:val="ru-RU" w:eastAsia="ru-RU" w:bidi="ru-RU"/>
          <w:w w:val="100"/>
          <w:spacing w:val="0"/>
          <w:color w:val="000000"/>
          <w:position w:val="0"/>
        </w:rPr>
        <w:t xml:space="preserve"> Согласно части 8.2 раздела VI документации об электронном аукционе показатели товаров, в отношении которых установлены значения в диапазоне (в наименовании показателя используется слово «диапазон» или словосочетание «в диапазоне», а также значение фракции щебня, значение диаметра закрепляемой хомутом трубы, значение немерной длины) в заявке на участие в аукционе должны быть указаны диапазонным значением.</w:t>
      </w:r>
    </w:p>
    <w:p>
      <w:pPr>
        <w:pStyle w:val="Style19"/>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80" w:right="20" w:firstLine="540"/>
      </w:pPr>
      <w:r>
        <w:rPr>
          <w:lang w:val="ru-RU" w:eastAsia="ru-RU" w:bidi="ru-RU"/>
          <w:w w:val="100"/>
          <w:spacing w:val="0"/>
          <w:color w:val="000000"/>
          <w:position w:val="0"/>
        </w:rPr>
        <w:t xml:space="preserve">В свою очередь по номенклатурной позиции №158 участником электронного аукциона предложено значение диаметра закрепляемой хомутом трубы «0 </w:t>
      </w:r>
      <w:r>
        <w:rPr>
          <w:lang w:val="en-US" w:eastAsia="en-US" w:bidi="en-US"/>
          <w:w w:val="100"/>
          <w:spacing w:val="0"/>
          <w:color w:val="000000"/>
          <w:position w:val="0"/>
        </w:rPr>
        <w:t xml:space="preserve">D: </w:t>
      </w:r>
      <w:r>
        <w:rPr>
          <w:lang w:val="ru-RU" w:eastAsia="ru-RU" w:bidi="ru-RU"/>
          <w:w w:val="100"/>
          <w:spacing w:val="0"/>
          <w:color w:val="000000"/>
          <w:position w:val="0"/>
        </w:rPr>
        <w:t>80 мм» (цитата из заявки) вместо требуемого заказчику «</w:t>
      </w:r>
      <w:r>
        <w:rPr>
          <w:rStyle w:val="CharStyle21"/>
        </w:rPr>
        <w:t xml:space="preserve">0 </w:t>
      </w:r>
      <w:r>
        <w:rPr>
          <w:rStyle w:val="CharStyle21"/>
          <w:lang w:val="en-US" w:eastAsia="en-US" w:bidi="en-US"/>
        </w:rPr>
        <w:t xml:space="preserve">D: </w:t>
      </w:r>
      <w:r>
        <w:rPr>
          <w:rStyle w:val="CharStyle21"/>
        </w:rPr>
        <w:t>от 74 до 80 мм</w:t>
      </w:r>
      <w:r>
        <w:rPr>
          <w:lang w:val="ru-RU" w:eastAsia="ru-RU" w:bidi="ru-RU"/>
          <w:w w:val="100"/>
          <w:spacing w:val="0"/>
          <w:color w:val="000000"/>
          <w:position w:val="0"/>
        </w:rPr>
        <w:t>».</w:t>
      </w:r>
    </w:p>
    <w:p>
      <w:pPr>
        <w:pStyle w:val="Style19"/>
        <w:numPr>
          <w:ilvl w:val="0"/>
          <w:numId w:val="7"/>
        </w:numPr>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80" w:right="20" w:firstLine="540"/>
      </w:pPr>
      <w:r>
        <w:rPr>
          <w:lang w:val="ru-RU" w:eastAsia="ru-RU" w:bidi="ru-RU"/>
          <w:w w:val="100"/>
          <w:spacing w:val="0"/>
          <w:color w:val="000000"/>
          <w:position w:val="0"/>
        </w:rPr>
        <w:t xml:space="preserve"> Согласно приложению №1 к разделу IV документации об аукционе в электронной форме по номенклатурной позиции №46 установлено требуемое значение «Заклепка медная по ГОСТ 10299-80. Номинальные размеры, мм: диаметр стержня от 12,0; длина до 50. Теоретическая масса 1000 штук заклепок: не менее 45,03 кг».</w:t>
      </w:r>
    </w:p>
    <w:p>
      <w:pPr>
        <w:pStyle w:val="Style19"/>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80" w:right="20" w:firstLine="540"/>
      </w:pPr>
      <w:r>
        <w:rPr>
          <w:lang w:val="ru-RU" w:eastAsia="ru-RU" w:bidi="ru-RU"/>
          <w:w w:val="100"/>
          <w:spacing w:val="0"/>
          <w:color w:val="000000"/>
          <w:position w:val="0"/>
        </w:rPr>
        <w:t>В свою очередь, по данной номенклатурной позиции участником электронного аукциона предложено следующее значение «Заклепка медная по ГОСТ 10299-80. Номинальные размеры, мм: диаметр стержня 12,0; длина 50. Теоретическая масса 1000 штук заклепок: 53,91» (цитата из заявки).</w:t>
      </w:r>
    </w:p>
    <w:p>
      <w:pPr>
        <w:pStyle w:val="Style19"/>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80" w:right="20" w:firstLine="540"/>
      </w:pPr>
      <w:r>
        <w:rPr>
          <w:lang w:val="ru-RU" w:eastAsia="ru-RU" w:bidi="ru-RU"/>
          <w:w w:val="100"/>
          <w:spacing w:val="0"/>
          <w:color w:val="000000"/>
          <w:position w:val="0"/>
        </w:rPr>
        <w:t xml:space="preserve">Однако в соответствии с приложением к ГОСТ 10299-80 «Заклепки с полукруглой головкой классов точности В и С. Технические условия» </w:t>
      </w:r>
      <w:r>
        <w:rPr>
          <w:rStyle w:val="CharStyle21"/>
        </w:rPr>
        <w:t>с учетом примечания к таблице</w:t>
      </w:r>
      <w:r>
        <w:rPr>
          <w:lang w:val="ru-RU" w:eastAsia="ru-RU" w:bidi="ru-RU"/>
          <w:w w:val="100"/>
          <w:spacing w:val="0"/>
          <w:color w:val="000000"/>
          <w:position w:val="0"/>
        </w:rPr>
        <w:t>: теоретическая масса 1000 штук медных заклепок длиной 50 мм при номинальном диаметре стержня 12 мм будет равняться 53,91*1,134=61,13 кг.</w:t>
      </w:r>
    </w:p>
    <w:p>
      <w:pPr>
        <w:pStyle w:val="Style19"/>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80" w:right="20" w:firstLine="540"/>
      </w:pPr>
      <w:r>
        <w:rPr>
          <w:lang w:val="ru-RU" w:eastAsia="ru-RU" w:bidi="ru-RU"/>
          <w:w w:val="100"/>
          <w:spacing w:val="0"/>
          <w:color w:val="000000"/>
          <w:position w:val="0"/>
        </w:rPr>
        <w:t>Таким образом, участником предложен товар, используемый при выполнении работ не соответствующий требованиям документации об электронном аукционе.</w:t>
      </w:r>
    </w:p>
    <w:p>
      <w:pPr>
        <w:pStyle w:val="Style7"/>
        <w:widowControl w:val="0"/>
        <w:keepNext w:val="0"/>
        <w:keepLines w:val="0"/>
        <w:shd w:val="clear" w:color="auto" w:fill="auto"/>
        <w:bidi w:val="0"/>
        <w:jc w:val="left"/>
        <w:spacing w:before="0" w:after="0"/>
        <w:ind w:left="900" w:right="0" w:firstLine="0"/>
      </w:pPr>
      <w:r>
        <w:rPr>
          <w:rStyle w:val="CharStyle22"/>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left"/>
        <w:spacing w:before="0" w:after="0"/>
        <w:ind w:left="900" w:right="0" w:firstLine="0"/>
      </w:pPr>
      <w:r>
        <w:rPr>
          <w:lang w:val="ru-RU" w:eastAsia="ru-RU" w:bidi="ru-RU"/>
          <w:w w:val="100"/>
          <w:spacing w:val="0"/>
          <w:color w:val="000000"/>
          <w:position w:val="0"/>
        </w:rPr>
        <w:t>Заказчиком в Техническом заданию документации об Аукционе установлено:</w:t>
      </w:r>
    </w:p>
    <w:p>
      <w:pPr>
        <w:pStyle w:val="Style7"/>
        <w:widowControl w:val="0"/>
        <w:keepNext w:val="0"/>
        <w:keepLines w:val="0"/>
        <w:shd w:val="clear" w:color="auto" w:fill="auto"/>
        <w:bidi w:val="0"/>
        <w:jc w:val="left"/>
        <w:spacing w:before="0" w:after="0"/>
        <w:ind w:left="80" w:right="0" w:firstLine="0"/>
      </w:pPr>
      <w:r>
        <w:rPr>
          <w:lang w:val="ru-RU" w:eastAsia="ru-RU" w:bidi="ru-RU"/>
          <w:w w:val="100"/>
          <w:spacing w:val="0"/>
          <w:color w:val="000000"/>
          <w:position w:val="0"/>
        </w:rPr>
        <w:t>«.</w:t>
      </w:r>
    </w:p>
    <w:p>
      <w:pPr>
        <w:pStyle w:val="Style23"/>
        <w:framePr w:w="10238"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Приложение №1 к Техническому заданию Требования к товарам, используемым при капитальном ремонте здания городской детской</w:t>
      </w:r>
    </w:p>
    <w:p>
      <w:pPr>
        <w:pStyle w:val="Style23"/>
        <w:framePr w:w="10238" w:wrap="notBeside" w:vAnchor="text" w:hAnchor="text" w:xAlign="center" w:y="1"/>
        <w:tabs>
          <w:tab w:leader="underscore" w:pos="4416" w:val="center"/>
          <w:tab w:leader="none" w:pos="5122" w:val="left"/>
          <w:tab w:leader="underscore" w:pos="10234" w:val="left"/>
        </w:tabs>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поликлиники ГБУЗ РК «Симферопольская городская детская клиническая больница» по адресу: г. </w:t>
        <w:tab/>
      </w:r>
      <w:r>
        <w:rPr>
          <w:rStyle w:val="CharStyle25"/>
          <w:b/>
          <w:bCs/>
        </w:rPr>
        <w:t>Симферополь,</w:t>
        <w:tab/>
        <w:t>ул. Семашко,6.</w:t>
      </w:r>
      <w:r>
        <w:rPr>
          <w:lang w:val="ru-RU" w:eastAsia="ru-RU" w:bidi="ru-RU"/>
          <w:w w:val="100"/>
          <w:spacing w:val="0"/>
          <w:color w:val="000000"/>
          <w:position w:val="0"/>
        </w:rPr>
        <w:tab/>
      </w:r>
    </w:p>
    <w:tbl>
      <w:tblPr>
        <w:tblOverlap w:val="never"/>
        <w:tblLayout w:type="fixed"/>
        <w:jc w:val="center"/>
      </w:tblPr>
      <w:tblGrid>
        <w:gridCol w:w="1157"/>
        <w:gridCol w:w="9082"/>
      </w:tblGrid>
      <w:tr>
        <w:trPr>
          <w:trHeight w:val="475" w:hRule="exact"/>
        </w:trPr>
        <w:tc>
          <w:tcPr>
            <w:shd w:val="clear" w:color="auto" w:fill="FFFFFF"/>
            <w:tcBorders>
              <w:left w:val="single" w:sz="4"/>
              <w:top w:val="single" w:sz="4"/>
            </w:tcBorders>
            <w:vAlign w:val="center"/>
          </w:tcPr>
          <w:p>
            <w:pPr>
              <w:pStyle w:val="Style7"/>
              <w:framePr w:w="1023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6"/>
              </w:rPr>
              <w:t>№ п/п</w:t>
            </w:r>
          </w:p>
        </w:tc>
        <w:tc>
          <w:tcPr>
            <w:shd w:val="clear" w:color="auto" w:fill="FFFFFF"/>
            <w:tcBorders>
              <w:left w:val="single" w:sz="4"/>
              <w:right w:val="single" w:sz="4"/>
              <w:top w:val="single" w:sz="4"/>
            </w:tcBorders>
            <w:vAlign w:val="bottom"/>
          </w:tcPr>
          <w:p>
            <w:pPr>
              <w:pStyle w:val="Style7"/>
              <w:framePr w:w="1023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6"/>
              </w:rPr>
              <w:t>Наименование товара (материала). Качественные характеристики, минимальные и максимальные значения, а так же значения которые не могут изменяться.</w:t>
            </w:r>
          </w:p>
        </w:tc>
      </w:tr>
      <w:tr>
        <w:trPr>
          <w:trHeight w:val="312" w:hRule="exact"/>
        </w:trPr>
        <w:tc>
          <w:tcPr>
            <w:shd w:val="clear" w:color="auto" w:fill="FFFFFF"/>
            <w:tcBorders>
              <w:left w:val="single" w:sz="4"/>
              <w:top w:val="single" w:sz="4"/>
            </w:tcBorders>
            <w:vAlign w:val="top"/>
          </w:tcPr>
          <w:p>
            <w:pPr>
              <w:framePr w:w="1023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8" w:wrap="notBeside" w:vAnchor="text" w:hAnchor="text" w:xAlign="center" w:y="1"/>
              <w:widowControl w:val="0"/>
              <w:rPr>
                <w:sz w:val="10"/>
                <w:szCs w:val="10"/>
              </w:rPr>
            </w:pPr>
          </w:p>
        </w:tc>
      </w:tr>
      <w:tr>
        <w:trPr>
          <w:trHeight w:val="470" w:hRule="exact"/>
        </w:trPr>
        <w:tc>
          <w:tcPr>
            <w:shd w:val="clear" w:color="auto" w:fill="FFFFFF"/>
            <w:tcBorders>
              <w:left w:val="single" w:sz="4"/>
              <w:top w:val="single" w:sz="4"/>
            </w:tcBorders>
            <w:vAlign w:val="center"/>
          </w:tcPr>
          <w:p>
            <w:pPr>
              <w:pStyle w:val="Style7"/>
              <w:framePr w:w="1023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46</w:t>
            </w:r>
          </w:p>
        </w:tc>
        <w:tc>
          <w:tcPr>
            <w:shd w:val="clear" w:color="auto" w:fill="FFFFFF"/>
            <w:tcBorders>
              <w:left w:val="single" w:sz="4"/>
              <w:right w:val="single" w:sz="4"/>
              <w:top w:val="single" w:sz="4"/>
            </w:tcBorders>
            <w:vAlign w:val="bottom"/>
          </w:tcPr>
          <w:p>
            <w:pPr>
              <w:pStyle w:val="Style7"/>
              <w:framePr w:w="1023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Заклепка медная по ГОСТ 10299-80. Номинальные размеры, мм: диаметр стержня от 12,0; длина до 50. Теоретическая масса 1000 штук заклепок: не менее 45,03 кг.</w:t>
            </w:r>
          </w:p>
        </w:tc>
      </w:tr>
      <w:tr>
        <w:trPr>
          <w:trHeight w:val="312" w:hRule="exact"/>
        </w:trPr>
        <w:tc>
          <w:tcPr>
            <w:shd w:val="clear" w:color="auto" w:fill="FFFFFF"/>
            <w:tcBorders>
              <w:left w:val="single" w:sz="4"/>
              <w:top w:val="single" w:sz="4"/>
            </w:tcBorders>
            <w:vAlign w:val="top"/>
          </w:tcPr>
          <w:p>
            <w:pPr>
              <w:framePr w:w="1023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8" w:wrap="notBeside" w:vAnchor="text" w:hAnchor="text" w:xAlign="center" w:y="1"/>
              <w:widowControl w:val="0"/>
              <w:rPr>
                <w:sz w:val="10"/>
                <w:szCs w:val="10"/>
              </w:rPr>
            </w:pPr>
          </w:p>
        </w:tc>
      </w:tr>
      <w:tr>
        <w:trPr>
          <w:trHeight w:val="1387" w:hRule="exact"/>
        </w:trPr>
        <w:tc>
          <w:tcPr>
            <w:shd w:val="clear" w:color="auto" w:fill="FFFFFF"/>
            <w:tcBorders>
              <w:left w:val="single" w:sz="4"/>
              <w:top w:val="single" w:sz="4"/>
            </w:tcBorders>
            <w:vAlign w:val="center"/>
          </w:tcPr>
          <w:p>
            <w:pPr>
              <w:pStyle w:val="Style7"/>
              <w:framePr w:w="1023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49</w:t>
            </w:r>
          </w:p>
        </w:tc>
        <w:tc>
          <w:tcPr>
            <w:shd w:val="clear" w:color="auto" w:fill="FFFFFF"/>
            <w:tcBorders>
              <w:left w:val="single" w:sz="4"/>
              <w:right w:val="single" w:sz="4"/>
              <w:top w:val="single" w:sz="4"/>
            </w:tcBorders>
            <w:vAlign w:val="bottom"/>
          </w:tcPr>
          <w:p>
            <w:pPr>
              <w:pStyle w:val="Style7"/>
              <w:framePr w:w="10238" w:wrap="notBeside" w:vAnchor="text" w:hAnchor="text" w:xAlign="center" w:y="1"/>
              <w:widowControl w:val="0"/>
              <w:keepNext w:val="0"/>
              <w:keepLines w:val="0"/>
              <w:shd w:val="clear" w:color="auto" w:fill="auto"/>
              <w:bidi w:val="0"/>
              <w:jc w:val="left"/>
              <w:spacing w:before="0" w:after="0" w:line="226" w:lineRule="exact"/>
              <w:ind w:left="180" w:right="0" w:firstLine="0"/>
            </w:pPr>
            <w:r>
              <w:rPr>
                <w:rStyle w:val="CharStyle27"/>
              </w:rPr>
              <w:t>Манометр. Тип: МП3-У или МП4-У Назначение: для измерения избыточного давления неагрессивных к медным сплавам жидкостей. Верхнее значение диапазона показаний, кгс/см</w:t>
            </w:r>
            <w:r>
              <w:rPr>
                <w:rStyle w:val="CharStyle27"/>
                <w:vertAlign w:val="superscript"/>
              </w:rPr>
              <w:t>2</w:t>
            </w:r>
            <w:r>
              <w:rPr>
                <w:rStyle w:val="CharStyle27"/>
              </w:rPr>
              <w:t xml:space="preserve">: 16-25. Степень защиты: не ниже </w:t>
            </w:r>
            <w:r>
              <w:rPr>
                <w:rStyle w:val="CharStyle27"/>
                <w:lang w:val="en-US" w:eastAsia="en-US" w:bidi="en-US"/>
              </w:rPr>
              <w:t xml:space="preserve">IP </w:t>
            </w:r>
            <w:r>
              <w:rPr>
                <w:rStyle w:val="CharStyle27"/>
              </w:rPr>
              <w:t>40. Рабочий диапазон температуры окружающего воздуха, °С: не уже от - 50 до +60. Диаметр корпуса: 100-150 мм. Материал корпуса: сталь. Материал механизма: латунь или медный сплав. Резьба присоединительного штуцера: М20х1,5. Класс точности: от 1 до 1,5. Масса: должна быть менее 1 кг.</w:t>
            </w:r>
          </w:p>
        </w:tc>
      </w:tr>
      <w:tr>
        <w:trPr>
          <w:trHeight w:val="312" w:hRule="exact"/>
        </w:trPr>
        <w:tc>
          <w:tcPr>
            <w:shd w:val="clear" w:color="auto" w:fill="FFFFFF"/>
            <w:tcBorders>
              <w:left w:val="single" w:sz="4"/>
              <w:top w:val="single" w:sz="4"/>
            </w:tcBorders>
            <w:vAlign w:val="top"/>
          </w:tcPr>
          <w:p>
            <w:pPr>
              <w:framePr w:w="1023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8" w:wrap="notBeside" w:vAnchor="text" w:hAnchor="text" w:xAlign="center" w:y="1"/>
              <w:widowControl w:val="0"/>
              <w:rPr>
                <w:sz w:val="10"/>
                <w:szCs w:val="10"/>
              </w:rPr>
            </w:pPr>
          </w:p>
        </w:tc>
      </w:tr>
      <w:tr>
        <w:trPr>
          <w:trHeight w:val="926" w:hRule="exact"/>
        </w:trPr>
        <w:tc>
          <w:tcPr>
            <w:shd w:val="clear" w:color="auto" w:fill="FFFFFF"/>
            <w:tcBorders>
              <w:left w:val="single" w:sz="4"/>
              <w:top w:val="single" w:sz="4"/>
            </w:tcBorders>
            <w:vAlign w:val="center"/>
          </w:tcPr>
          <w:p>
            <w:pPr>
              <w:pStyle w:val="Style7"/>
              <w:framePr w:w="1023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130</w:t>
            </w:r>
          </w:p>
        </w:tc>
        <w:tc>
          <w:tcPr>
            <w:shd w:val="clear" w:color="auto" w:fill="FFFFFF"/>
            <w:tcBorders>
              <w:left w:val="single" w:sz="4"/>
              <w:right w:val="single" w:sz="4"/>
              <w:top w:val="single" w:sz="4"/>
            </w:tcBorders>
            <w:vAlign w:val="bottom"/>
          </w:tcPr>
          <w:p>
            <w:pPr>
              <w:pStyle w:val="Style7"/>
              <w:framePr w:w="1023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Лента изоляционная прорезиненная односторонняя. Должна соответствовать ГОСТ 2162-97. Внешний вид: равномерное (без пропусков) покрытие поверхности ткани резиновой смесью. Номинальная ширина: не должна быть &lt; 15 мм. Толщина: 0,25-0,40 мм. Температурный диапазон эксплуатации: не уже от минус 30 °С до плюс 30 °С.</w:t>
            </w:r>
          </w:p>
        </w:tc>
      </w:tr>
      <w:tr>
        <w:trPr>
          <w:trHeight w:val="461" w:hRule="exact"/>
        </w:trPr>
        <w:tc>
          <w:tcPr>
            <w:shd w:val="clear" w:color="auto" w:fill="FFFFFF"/>
            <w:tcBorders>
              <w:left w:val="single" w:sz="4"/>
              <w:top w:val="single" w:sz="4"/>
            </w:tcBorders>
            <w:vAlign w:val="top"/>
          </w:tcPr>
          <w:p>
            <w:pPr>
              <w:framePr w:w="1023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8" w:wrap="notBeside" w:vAnchor="text" w:hAnchor="text" w:xAlign="center" w:y="1"/>
              <w:widowControl w:val="0"/>
              <w:rPr>
                <w:sz w:val="10"/>
                <w:szCs w:val="10"/>
              </w:rPr>
            </w:pPr>
          </w:p>
        </w:tc>
      </w:tr>
      <w:tr>
        <w:trPr>
          <w:trHeight w:val="710" w:hRule="exact"/>
        </w:trPr>
        <w:tc>
          <w:tcPr>
            <w:shd w:val="clear" w:color="auto" w:fill="FFFFFF"/>
            <w:tcBorders>
              <w:left w:val="single" w:sz="4"/>
              <w:top w:val="single" w:sz="4"/>
              <w:bottom w:val="single" w:sz="4"/>
            </w:tcBorders>
            <w:vAlign w:val="center"/>
          </w:tcPr>
          <w:p>
            <w:pPr>
              <w:pStyle w:val="Style7"/>
              <w:framePr w:w="1023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158</w:t>
            </w:r>
          </w:p>
        </w:tc>
        <w:tc>
          <w:tcPr>
            <w:shd w:val="clear" w:color="auto" w:fill="FFFFFF"/>
            <w:tcBorders>
              <w:left w:val="single" w:sz="4"/>
              <w:right w:val="single" w:sz="4"/>
              <w:top w:val="single" w:sz="4"/>
              <w:bottom w:val="single" w:sz="4"/>
            </w:tcBorders>
            <w:vAlign w:val="bottom"/>
          </w:tcPr>
          <w:p>
            <w:pPr>
              <w:pStyle w:val="Style7"/>
              <w:framePr w:w="1023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Хомут сантехнический с резиновым уплотнением. Назначение: для крепления труб на стенах. Материал хомута: стальная лента толщиною от 1,5 мм.</w:t>
            </w:r>
          </w:p>
          <w:p>
            <w:pPr>
              <w:pStyle w:val="Style7"/>
              <w:framePr w:w="1023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Конструкция и размеры в соответствии с рисунком:</w:t>
            </w:r>
          </w:p>
        </w:tc>
      </w:tr>
    </w:tbl>
    <w:p>
      <w:pPr>
        <w:widowControl w:val="0"/>
        <w:rPr>
          <w:sz w:val="2"/>
          <w:szCs w:val="2"/>
        </w:rPr>
      </w:pPr>
    </w:p>
    <w:tbl>
      <w:tblPr>
        <w:tblOverlap w:val="never"/>
        <w:tblLayout w:type="fixed"/>
        <w:jc w:val="center"/>
      </w:tblPr>
      <w:tblGrid>
        <w:gridCol w:w="1157"/>
        <w:gridCol w:w="9082"/>
      </w:tblGrid>
      <w:tr>
        <w:trPr>
          <w:trHeight w:val="4282" w:hRule="exact"/>
        </w:trPr>
        <w:tc>
          <w:tcPr>
            <w:shd w:val="clear" w:color="auto" w:fill="FFFFFF"/>
            <w:tcBorders>
              <w:left w:val="single" w:sz="4"/>
              <w:top w:val="single" w:sz="4"/>
            </w:tcBorders>
            <w:vAlign w:val="top"/>
          </w:tcPr>
          <w:p>
            <w:pPr>
              <w:framePr w:w="10238"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numPr>
                <w:ilvl w:val="0"/>
                <w:numId w:val="9"/>
              </w:numPr>
              <w:framePr w:w="10238" w:wrap="notBeside" w:vAnchor="text" w:hAnchor="text" w:xAlign="center" w:y="1"/>
              <w:tabs>
                <w:tab w:leader="none" w:pos="638" w:val="left"/>
              </w:tabs>
              <w:widowControl w:val="0"/>
              <w:keepNext w:val="0"/>
              <w:keepLines w:val="0"/>
              <w:shd w:val="clear" w:color="auto" w:fill="auto"/>
              <w:bidi w:val="0"/>
              <w:jc w:val="both"/>
              <w:spacing w:before="0" w:after="0" w:line="230" w:lineRule="exact"/>
              <w:ind w:left="0" w:right="0" w:firstLine="0"/>
            </w:pPr>
            <w:r>
              <w:rPr>
                <w:rStyle w:val="CharStyle27"/>
              </w:rPr>
              <w:t>В: от 20 до 25 мм;</w:t>
            </w:r>
          </w:p>
          <w:p>
            <w:pPr>
              <w:pStyle w:val="Style7"/>
              <w:numPr>
                <w:ilvl w:val="0"/>
                <w:numId w:val="9"/>
              </w:numPr>
              <w:framePr w:w="10238" w:wrap="notBeside" w:vAnchor="text" w:hAnchor="text" w:xAlign="center" w:y="1"/>
              <w:tabs>
                <w:tab w:leader="none" w:pos="643" w:val="left"/>
              </w:tabs>
              <w:widowControl w:val="0"/>
              <w:keepNext w:val="0"/>
              <w:keepLines w:val="0"/>
              <w:shd w:val="clear" w:color="auto" w:fill="auto"/>
              <w:bidi w:val="0"/>
              <w:jc w:val="both"/>
              <w:spacing w:before="0" w:after="0" w:line="230" w:lineRule="exact"/>
              <w:ind w:left="0" w:right="0" w:firstLine="0"/>
            </w:pPr>
            <w:r>
              <w:rPr>
                <w:rStyle w:val="CharStyle27"/>
              </w:rPr>
              <w:t>А: до М10;</w:t>
            </w:r>
          </w:p>
          <w:p>
            <w:pPr>
              <w:pStyle w:val="Style7"/>
              <w:numPr>
                <w:ilvl w:val="0"/>
                <w:numId w:val="9"/>
              </w:numPr>
              <w:framePr w:w="10238" w:wrap="notBeside" w:vAnchor="text" w:hAnchor="text" w:xAlign="center" w:y="1"/>
              <w:tabs>
                <w:tab w:leader="none" w:pos="638" w:val="left"/>
              </w:tabs>
              <w:widowControl w:val="0"/>
              <w:keepNext w:val="0"/>
              <w:keepLines w:val="0"/>
              <w:shd w:val="clear" w:color="auto" w:fill="auto"/>
              <w:bidi w:val="0"/>
              <w:jc w:val="both"/>
              <w:spacing w:before="0" w:after="0" w:line="230" w:lineRule="exact"/>
              <w:ind w:left="0" w:right="0" w:firstLine="0"/>
            </w:pPr>
            <w:r>
              <w:rPr>
                <w:rStyle w:val="CharStyle27"/>
              </w:rPr>
              <w:t>М: М6х22;</w:t>
            </w:r>
          </w:p>
          <w:p>
            <w:pPr>
              <w:pStyle w:val="Style7"/>
              <w:numPr>
                <w:ilvl w:val="0"/>
                <w:numId w:val="9"/>
              </w:numPr>
              <w:framePr w:w="10238" w:wrap="notBeside" w:vAnchor="text" w:hAnchor="text" w:xAlign="center" w:y="1"/>
              <w:tabs>
                <w:tab w:leader="none" w:pos="264" w:val="left"/>
              </w:tabs>
              <w:widowControl w:val="0"/>
              <w:keepNext w:val="0"/>
              <w:keepLines w:val="0"/>
              <w:shd w:val="clear" w:color="auto" w:fill="auto"/>
              <w:bidi w:val="0"/>
              <w:jc w:val="both"/>
              <w:spacing w:before="0" w:after="0" w:line="230" w:lineRule="exact"/>
              <w:ind w:left="0" w:right="0" w:firstLine="0"/>
            </w:pPr>
            <w:r>
              <w:rPr>
                <w:rStyle w:val="CharStyle27"/>
              </w:rPr>
              <w:t xml:space="preserve">0 </w:t>
            </w:r>
            <w:r>
              <w:rPr>
                <w:rStyle w:val="CharStyle27"/>
                <w:lang w:val="en-US" w:eastAsia="en-US" w:bidi="en-US"/>
              </w:rPr>
              <w:t xml:space="preserve">D: </w:t>
            </w:r>
            <w:r>
              <w:rPr>
                <w:rStyle w:val="CharStyle27"/>
              </w:rPr>
              <w:t>от 74 до 80 мм;</w:t>
            </w:r>
          </w:p>
          <w:p>
            <w:pPr>
              <w:pStyle w:val="Style7"/>
              <w:numPr>
                <w:ilvl w:val="0"/>
                <w:numId w:val="9"/>
              </w:numPr>
              <w:framePr w:w="10238" w:wrap="notBeside" w:vAnchor="text" w:hAnchor="text" w:xAlign="center" w:y="1"/>
              <w:tabs>
                <w:tab w:leader="none" w:pos="274" w:val="left"/>
              </w:tabs>
              <w:widowControl w:val="0"/>
              <w:keepNext w:val="0"/>
              <w:keepLines w:val="0"/>
              <w:shd w:val="clear" w:color="auto" w:fill="auto"/>
              <w:bidi w:val="0"/>
              <w:jc w:val="both"/>
              <w:spacing w:before="0" w:after="0" w:line="230" w:lineRule="exact"/>
              <w:ind w:left="0" w:right="0" w:firstLine="0"/>
            </w:pPr>
            <w:r>
              <w:rPr>
                <w:rStyle w:val="CharStyle27"/>
                <w:lang w:val="en-US" w:eastAsia="en-US" w:bidi="en-US"/>
              </w:rPr>
              <w:t xml:space="preserve">S: </w:t>
            </w:r>
            <w:r>
              <w:rPr>
                <w:rStyle w:val="CharStyle27"/>
              </w:rPr>
              <w:t>от 1,5 до 2,0 мм.</w:t>
            </w:r>
          </w:p>
          <w:p>
            <w:pPr>
              <w:pStyle w:val="Style7"/>
              <w:framePr w:w="10238"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7"/>
              </w:rPr>
              <w:t>В комплект поставки должна входить шпилька сантехническая размером не менее 8х120 мм.</w:t>
            </w:r>
          </w:p>
        </w:tc>
      </w:tr>
      <w:tr>
        <w:trPr>
          <w:trHeight w:val="259" w:hRule="exact"/>
        </w:trPr>
        <w:tc>
          <w:tcPr>
            <w:shd w:val="clear" w:color="auto" w:fill="FFFFFF"/>
            <w:tcBorders>
              <w:left w:val="single" w:sz="4"/>
              <w:top w:val="single" w:sz="4"/>
            </w:tcBorders>
            <w:vAlign w:val="top"/>
          </w:tcPr>
          <w:p>
            <w:pPr>
              <w:framePr w:w="1023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8" w:wrap="notBeside" w:vAnchor="text" w:hAnchor="text" w:xAlign="center" w:y="1"/>
              <w:widowControl w:val="0"/>
              <w:rPr>
                <w:sz w:val="10"/>
                <w:szCs w:val="10"/>
              </w:rPr>
            </w:pPr>
          </w:p>
        </w:tc>
      </w:tr>
      <w:tr>
        <w:trPr>
          <w:trHeight w:val="926" w:hRule="exact"/>
        </w:trPr>
        <w:tc>
          <w:tcPr>
            <w:shd w:val="clear" w:color="auto" w:fill="FFFFFF"/>
            <w:tcBorders>
              <w:left w:val="single" w:sz="4"/>
              <w:top w:val="single" w:sz="4"/>
            </w:tcBorders>
            <w:vAlign w:val="center"/>
          </w:tcPr>
          <w:p>
            <w:pPr>
              <w:pStyle w:val="Style7"/>
              <w:framePr w:w="1023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174</w:t>
            </w:r>
          </w:p>
        </w:tc>
        <w:tc>
          <w:tcPr>
            <w:shd w:val="clear" w:color="auto" w:fill="FFFFFF"/>
            <w:tcBorders>
              <w:left w:val="single" w:sz="4"/>
              <w:right w:val="single" w:sz="4"/>
              <w:top w:val="single" w:sz="4"/>
            </w:tcBorders>
            <w:vAlign w:val="bottom"/>
          </w:tcPr>
          <w:p>
            <w:pPr>
              <w:pStyle w:val="Style7"/>
              <w:framePr w:w="10238"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7"/>
              </w:rPr>
              <w:t>Электроды. Должны соответствовать ГОСТ 9466-75. Номинальный диаметр: не должен быть &lt; 4 мм. Номинальная длина электрода: 350-450 мм. Длина зачищенного от покрытия конца (пред. откл.), мм: не менее 25 (±5). Сварочная проволока, из которой изготовлен стержень электрода: легированная или высоколегированная.</w:t>
            </w:r>
          </w:p>
        </w:tc>
      </w:tr>
      <w:tr>
        <w:trPr>
          <w:trHeight w:val="322" w:hRule="exact"/>
        </w:trPr>
        <w:tc>
          <w:tcPr>
            <w:shd w:val="clear" w:color="auto" w:fill="FFFFFF"/>
            <w:tcBorders>
              <w:left w:val="single" w:sz="4"/>
              <w:top w:val="single" w:sz="4"/>
              <w:bottom w:val="single" w:sz="4"/>
            </w:tcBorders>
            <w:vAlign w:val="top"/>
          </w:tcPr>
          <w:p>
            <w:pPr>
              <w:framePr w:w="1023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8" w:wrap="notBeside" w:vAnchor="text" w:hAnchor="text" w:xAlign="center" w:y="1"/>
              <w:widowControl w:val="0"/>
              <w:rPr>
                <w:sz w:val="10"/>
                <w:szCs w:val="10"/>
              </w:rPr>
            </w:pPr>
          </w:p>
        </w:tc>
      </w:tr>
    </w:tbl>
    <w:p>
      <w:pPr>
        <w:widowControl w:val="0"/>
        <w:rPr>
          <w:sz w:val="2"/>
          <w:szCs w:val="2"/>
        </w:rPr>
      </w:pPr>
    </w:p>
    <w:p>
      <w:pPr>
        <w:pStyle w:val="Style7"/>
        <w:widowControl w:val="0"/>
        <w:keepNext w:val="0"/>
        <w:keepLines w:val="0"/>
        <w:shd w:val="clear" w:color="auto" w:fill="auto"/>
        <w:bidi w:val="0"/>
        <w:jc w:val="both"/>
        <w:spacing w:before="0" w:after="0"/>
        <w:ind w:left="40" w:right="0" w:firstLine="860"/>
      </w:pPr>
      <w:r>
        <w:rPr>
          <w:rStyle w:val="CharStyle28"/>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ind w:left="40" w:right="20" w:firstLine="860"/>
      </w:pPr>
      <w:r>
        <w:rPr>
          <w:lang w:val="ru-RU" w:eastAsia="ru-RU" w:bidi="ru-RU"/>
          <w:w w:val="100"/>
          <w:spacing w:val="0"/>
          <w:color w:val="000000"/>
          <w:position w:val="0"/>
        </w:rPr>
        <w:t>При этом документация об Аукционе содержит Инструкцию по заполнению первых частей заявок участников, согласно которой: «.</w:t>
      </w:r>
    </w:p>
    <w:p>
      <w:pPr>
        <w:pStyle w:val="Style29"/>
        <w:numPr>
          <w:ilvl w:val="0"/>
          <w:numId w:val="11"/>
        </w:numPr>
        <w:widowControl w:val="0"/>
        <w:keepNext w:val="0"/>
        <w:keepLines w:val="0"/>
        <w:shd w:val="clear" w:color="auto" w:fill="auto"/>
        <w:bidi w:val="0"/>
        <w:spacing w:before="0" w:after="0"/>
        <w:ind w:left="40" w:right="20"/>
      </w:pPr>
      <w:r>
        <w:rPr>
          <w:lang w:val="ru-RU" w:eastAsia="ru-RU" w:bidi="ru-RU"/>
          <w:w w:val="100"/>
          <w:spacing w:val="0"/>
          <w:color w:val="000000"/>
          <w:position w:val="0"/>
        </w:rPr>
        <w:t xml:space="preserve"> Если при описании данного вида показателей Заказчик использовал такие слова или знаки как: «более», «менее», «выше», «ниже», «&lt;» (означает «меньше»), «&gt;» (означает «больше»), «свыше», «св.», «не должен быть &lt;», «не должен быть &gt;»:</w:t>
      </w:r>
    </w:p>
    <w:p>
      <w:pPr>
        <w:pStyle w:val="Style29"/>
        <w:widowControl w:val="0"/>
        <w:keepNext w:val="0"/>
        <w:keepLines w:val="0"/>
        <w:shd w:val="clear" w:color="auto" w:fill="auto"/>
        <w:bidi w:val="0"/>
        <w:spacing w:before="0" w:after="184" w:line="230" w:lineRule="exact"/>
        <w:ind w:left="40" w:right="20"/>
      </w:pPr>
      <w:r>
        <w:rPr>
          <w:lang w:val="ru-RU" w:eastAsia="ru-RU" w:bidi="ru-RU"/>
          <w:w w:val="100"/>
          <w:spacing w:val="0"/>
          <w:color w:val="000000"/>
          <w:position w:val="0"/>
        </w:rPr>
        <w:t>участник закупки должен указать конкретное значение показателя, соответствующее установленным Заказчиком требованиям, при этом крайние границы не могут быть указаны в заявке участника закупки. Если Заказчиком установлено только минимальное значение - то более минимального, а если установлено только максимальное значение - то менее максимального.</w:t>
      </w:r>
    </w:p>
    <w:p>
      <w:pPr>
        <w:pStyle w:val="Style29"/>
        <w:numPr>
          <w:ilvl w:val="0"/>
          <w:numId w:val="13"/>
        </w:numPr>
        <w:widowControl w:val="0"/>
        <w:keepNext w:val="0"/>
        <w:keepLines w:val="0"/>
        <w:shd w:val="clear" w:color="auto" w:fill="auto"/>
        <w:bidi w:val="0"/>
        <w:spacing w:before="0" w:after="0"/>
        <w:ind w:left="40" w:right="20"/>
      </w:pPr>
      <w:r>
        <w:rPr>
          <w:lang w:val="ru-RU" w:eastAsia="ru-RU" w:bidi="ru-RU"/>
          <w:w w:val="100"/>
          <w:spacing w:val="0"/>
          <w:color w:val="000000"/>
          <w:position w:val="0"/>
        </w:rPr>
        <w:t xml:space="preserve"> Показатели товаров, в отношении которых установлены значения в диапазоне (в наименовании показателя используется слово «диапазон» или словосочетание «в диапазоне», а также значение фракции щебня, значение диаметра закрепляемой хомутом трубы, значение немерной длины) в заявке на участие в аукционе должны быть указаны диапазонным значением.</w:t>
      </w:r>
    </w:p>
    <w:p>
      <w:pPr>
        <w:pStyle w:val="Style7"/>
        <w:widowControl w:val="0"/>
        <w:keepNext w:val="0"/>
        <w:keepLines w:val="0"/>
        <w:shd w:val="clear" w:color="auto" w:fill="auto"/>
        <w:bidi w:val="0"/>
        <w:jc w:val="both"/>
        <w:spacing w:before="0" w:after="0" w:line="312" w:lineRule="exact"/>
        <w:ind w:left="40" w:right="0" w:firstLine="860"/>
      </w:pPr>
      <w:r>
        <w:rPr>
          <w:lang w:val="ru-RU" w:eastAsia="ru-RU" w:bidi="ru-RU"/>
          <w:w w:val="100"/>
          <w:spacing w:val="0"/>
          <w:color w:val="000000"/>
          <w:position w:val="0"/>
        </w:rPr>
        <w:t>... « (цитата).</w:t>
      </w:r>
    </w:p>
    <w:p>
      <w:pPr>
        <w:pStyle w:val="Style7"/>
        <w:widowControl w:val="0"/>
        <w:keepNext w:val="0"/>
        <w:keepLines w:val="0"/>
        <w:shd w:val="clear" w:color="auto" w:fill="auto"/>
        <w:bidi w:val="0"/>
        <w:jc w:val="both"/>
        <w:spacing w:before="0" w:after="0" w:line="312" w:lineRule="exact"/>
        <w:ind w:left="40" w:right="20" w:firstLine="860"/>
      </w:pPr>
      <w:r>
        <w:rPr>
          <w:lang w:val="ru-RU" w:eastAsia="ru-RU" w:bidi="ru-RU"/>
          <w:w w:val="100"/>
          <w:spacing w:val="0"/>
          <w:color w:val="000000"/>
          <w:position w:val="0"/>
        </w:rPr>
        <w:t>На заседании Комиссии представитель Уполномоченного органа пояснил, что Заявителем в составе своей первой части заявки под порядковым номером «19» представлены показатели товаров (материалов), используемых при выполнении работ противоречащие требованиям документации об Аукционе и положениям соответствующих государственных стандартов, а именно: «.</w:t>
      </w:r>
      <w:r>
        <w:rPr>
          <w:rStyle w:val="CharStyle31"/>
        </w:rPr>
        <w:t>участником электронного аукциона предложены следующие значения:</w:t>
      </w:r>
    </w:p>
    <w:p>
      <w:pPr>
        <w:pStyle w:val="Style19"/>
        <w:numPr>
          <w:ilvl w:val="0"/>
          <w:numId w:val="3"/>
        </w:numPr>
        <w:widowControl w:val="0"/>
        <w:keepNext w:val="0"/>
        <w:keepLines w:val="0"/>
        <w:shd w:val="clear" w:color="auto" w:fill="auto"/>
        <w:bidi w:val="0"/>
        <w:spacing w:before="0" w:after="0"/>
        <w:ind w:left="40" w:right="20" w:firstLine="860"/>
      </w:pPr>
      <w:r>
        <w:rPr>
          <w:lang w:val="ru-RU" w:eastAsia="ru-RU" w:bidi="ru-RU"/>
          <w:w w:val="100"/>
          <w:spacing w:val="0"/>
          <w:color w:val="000000"/>
          <w:position w:val="0"/>
        </w:rPr>
        <w:t xml:space="preserve"> по номенклатурной позиции №49 - «Масса: 1 кг» (цитата из заявки) вместо требуемого заказчику «Масса: должна быть менее 1 кг»;</w:t>
      </w:r>
    </w:p>
    <w:p>
      <w:pPr>
        <w:pStyle w:val="Style19"/>
        <w:numPr>
          <w:ilvl w:val="0"/>
          <w:numId w:val="3"/>
        </w:numPr>
        <w:widowControl w:val="0"/>
        <w:keepNext w:val="0"/>
        <w:keepLines w:val="0"/>
        <w:shd w:val="clear" w:color="auto" w:fill="auto"/>
        <w:bidi w:val="0"/>
        <w:spacing w:before="0" w:after="0"/>
        <w:ind w:left="40" w:right="20" w:firstLine="860"/>
      </w:pPr>
      <w:r>
        <w:rPr>
          <w:lang w:val="ru-RU" w:eastAsia="ru-RU" w:bidi="ru-RU"/>
          <w:w w:val="100"/>
          <w:spacing w:val="0"/>
          <w:color w:val="000000"/>
          <w:position w:val="0"/>
        </w:rPr>
        <w:t xml:space="preserve"> по номенклатурной позиции №130 - «Номинальная ширина: будет 15 мм» (цитата из заявки) вместо требуемого заказчику «Номинальная ширина: не должна быть &lt; 15 мм»;</w:t>
      </w:r>
    </w:p>
    <w:p>
      <w:pPr>
        <w:pStyle w:val="Style19"/>
        <w:numPr>
          <w:ilvl w:val="0"/>
          <w:numId w:val="3"/>
        </w:numPr>
        <w:widowControl w:val="0"/>
        <w:keepNext w:val="0"/>
        <w:keepLines w:val="0"/>
        <w:shd w:val="clear" w:color="auto" w:fill="auto"/>
        <w:bidi w:val="0"/>
        <w:spacing w:before="0" w:after="0"/>
        <w:ind w:left="40" w:right="20" w:firstLine="860"/>
      </w:pPr>
      <w:r>
        <w:rPr>
          <w:lang w:val="ru-RU" w:eastAsia="ru-RU" w:bidi="ru-RU"/>
          <w:w w:val="100"/>
          <w:spacing w:val="0"/>
          <w:color w:val="000000"/>
          <w:position w:val="0"/>
        </w:rPr>
        <w:t xml:space="preserve"> по номенклатурной позиции №174 - «Номинальный диаметр: будет 4 мм» (цитата из заявки) вместо требуемого заказчику «Номинальный диаметр: не должен быть &lt; 4 мм».</w:t>
      </w:r>
    </w:p>
    <w:p>
      <w:pPr>
        <w:pStyle w:val="Style19"/>
        <w:widowControl w:val="0"/>
        <w:keepNext w:val="0"/>
        <w:keepLines w:val="0"/>
        <w:shd w:val="clear" w:color="auto" w:fill="auto"/>
        <w:bidi w:val="0"/>
        <w:spacing w:before="0" w:after="0"/>
        <w:ind w:left="40" w:right="20" w:firstLine="860"/>
      </w:pPr>
      <w:r>
        <w:rPr>
          <w:lang w:val="ru-RU" w:eastAsia="ru-RU" w:bidi="ru-RU"/>
          <w:w w:val="100"/>
          <w:spacing w:val="0"/>
          <w:color w:val="000000"/>
          <w:position w:val="0"/>
        </w:rPr>
        <w:t xml:space="preserve">По номенклатурной позиции №158 участником электронного аукциона предложено значение диаметра закрепляемой хомутом трубы «0 </w:t>
      </w:r>
      <w:r>
        <w:rPr>
          <w:lang w:val="en-US" w:eastAsia="en-US" w:bidi="en-US"/>
          <w:w w:val="100"/>
          <w:spacing w:val="0"/>
          <w:color w:val="000000"/>
          <w:position w:val="0"/>
        </w:rPr>
        <w:t xml:space="preserve">D: </w:t>
      </w:r>
      <w:r>
        <w:rPr>
          <w:lang w:val="ru-RU" w:eastAsia="ru-RU" w:bidi="ru-RU"/>
          <w:w w:val="100"/>
          <w:spacing w:val="0"/>
          <w:color w:val="000000"/>
          <w:position w:val="0"/>
        </w:rPr>
        <w:t>80 мм» (цитата из заявки) вместо требуемого заказчику «</w:t>
      </w:r>
      <w:r>
        <w:rPr>
          <w:rStyle w:val="CharStyle21"/>
        </w:rPr>
        <w:t xml:space="preserve">0 </w:t>
      </w:r>
      <w:r>
        <w:rPr>
          <w:rStyle w:val="CharStyle21"/>
          <w:lang w:val="en-US" w:eastAsia="en-US" w:bidi="en-US"/>
        </w:rPr>
        <w:t xml:space="preserve">D: </w:t>
      </w:r>
      <w:r>
        <w:rPr>
          <w:rStyle w:val="CharStyle21"/>
        </w:rPr>
        <w:t>от 74 до 80 мм</w:t>
      </w:r>
      <w:r>
        <w:rPr>
          <w:lang w:val="ru-RU" w:eastAsia="ru-RU" w:bidi="ru-RU"/>
          <w:w w:val="100"/>
          <w:spacing w:val="0"/>
          <w:color w:val="000000"/>
          <w:position w:val="0"/>
        </w:rPr>
        <w:t>».</w:t>
      </w:r>
    </w:p>
    <w:p>
      <w:pPr>
        <w:pStyle w:val="Style19"/>
        <w:widowControl w:val="0"/>
        <w:keepNext w:val="0"/>
        <w:keepLines w:val="0"/>
        <w:shd w:val="clear" w:color="auto" w:fill="auto"/>
        <w:bidi w:val="0"/>
        <w:spacing w:before="0" w:after="0"/>
        <w:ind w:left="40" w:right="20" w:firstLine="860"/>
      </w:pPr>
      <w:r>
        <w:rPr>
          <w:lang w:val="ru-RU" w:eastAsia="ru-RU" w:bidi="ru-RU"/>
          <w:w w:val="100"/>
          <w:spacing w:val="0"/>
          <w:color w:val="000000"/>
          <w:position w:val="0"/>
        </w:rPr>
        <w:t>По номенклатурной позиции №46 установлено требуемое значение «Заклепка медная по ГОСТ 10299-80. Номинальные размеры, мм: диаметр стержня от 12,0; длина до 50. Теоретическая масса 1000</w:t>
        <w:br w:type="page"/>
        <w:t>штук заклепок: не менее 45,03 кг».</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В свою очередь, по данной номенклатурной позиции участником электронного аукциона предложено следующее значение «Заклепка медная по ГОСТ 10299-80. Номинальные размеры, мм: диаметр стержня 12,0; длина 50. Теоретическая масса 1000 штук заклепок: 53,91» (цитата из заявки).</w:t>
      </w:r>
    </w:p>
    <w:p>
      <w:pPr>
        <w:pStyle w:val="Style19"/>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 xml:space="preserve">Однако в соответствии с приложением к ГОСТ 10299-80 «Заклепки с полукруглой головкой классов точности В и С. Технические условия» </w:t>
      </w:r>
      <w:r>
        <w:rPr>
          <w:rStyle w:val="CharStyle21"/>
        </w:rPr>
        <w:t>с учетом примечания к таблице</w:t>
      </w:r>
      <w:r>
        <w:rPr>
          <w:lang w:val="ru-RU" w:eastAsia="ru-RU" w:bidi="ru-RU"/>
          <w:w w:val="100"/>
          <w:spacing w:val="0"/>
          <w:color w:val="000000"/>
          <w:position w:val="0"/>
        </w:rPr>
        <w:t>: теоретическая масса 1000 штук медных заклепок длиной 50 мм при номинальном диаметре стержня 12 мм будет равняться 53,91*1,134=61,13 кг.</w:t>
      </w:r>
    </w:p>
    <w:p>
      <w:pPr>
        <w:pStyle w:val="Style19"/>
        <w:widowControl w:val="0"/>
        <w:keepNext w:val="0"/>
        <w:keepLines w:val="0"/>
        <w:shd w:val="clear" w:color="auto" w:fill="auto"/>
        <w:bidi w:val="0"/>
        <w:spacing w:before="0" w:after="0" w:line="307" w:lineRule="exact"/>
        <w:ind w:left="0" w:right="20" w:firstLine="860"/>
      </w:pPr>
      <w:r>
        <w:rPr>
          <w:lang w:val="ru-RU" w:eastAsia="ru-RU" w:bidi="ru-RU"/>
          <w:w w:val="100"/>
          <w:spacing w:val="0"/>
          <w:color w:val="000000"/>
          <w:position w:val="0"/>
        </w:rPr>
        <w:t xml:space="preserve">Таким образом, участником предложен товар, используемый при выполнении работ не соответствующий требованиям документации об электронном аукционе и требованиям ГОСТов </w:t>
      </w:r>
      <w:r>
        <w:rPr>
          <w:rStyle w:val="CharStyle32"/>
        </w:rPr>
        <w:t>.»</w:t>
      </w:r>
    </w:p>
    <w:p>
      <w:pPr>
        <w:pStyle w:val="Style7"/>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(цитата письменных пояснений).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«19» (Заявитель), предоставленную представителем Уполномоченного органа, положения соответствующих ГОСТов, с учетом пояснений представителей Уполномоченного органа и Заказчика,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не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240"/>
        <w:ind w:left="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widowControl w:val="0"/>
        <w:keepNext w:val="0"/>
        <w:keepLines w:val="0"/>
        <w:shd w:val="clear" w:color="auto" w:fill="auto"/>
        <w:bidi w:val="0"/>
        <w:jc w:val="both"/>
        <w:spacing w:before="0" w:after="109"/>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77" w:line="260" w:lineRule="exact"/>
        <w:ind w:left="0" w:right="0" w:firstLine="0"/>
      </w:pPr>
      <w:r>
        <w:rPr>
          <w:lang w:val="ru-RU" w:eastAsia="ru-RU" w:bidi="ru-RU"/>
          <w:w w:val="100"/>
          <w:spacing w:val="0"/>
          <w:color w:val="000000"/>
          <w:position w:val="0"/>
        </w:rPr>
        <w:t>РЕШИЛА:</w:t>
      </w:r>
    </w:p>
    <w:p>
      <w:pPr>
        <w:pStyle w:val="Style7"/>
        <w:numPr>
          <w:ilvl w:val="0"/>
          <w:numId w:val="15"/>
        </w:numPr>
        <w:widowControl w:val="0"/>
        <w:keepNext w:val="0"/>
        <w:keepLines w:val="0"/>
        <w:shd w:val="clear" w:color="auto" w:fill="auto"/>
        <w:bidi w:val="0"/>
        <w:jc w:val="both"/>
        <w:spacing w:before="0" w:after="124"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5"/>
        </w:numPr>
        <w:widowControl w:val="0"/>
        <w:keepNext w:val="0"/>
        <w:keepLines w:val="0"/>
        <w:shd w:val="clear" w:color="auto" w:fill="auto"/>
        <w:bidi w:val="0"/>
        <w:jc w:val="both"/>
        <w:spacing w:before="0" w:after="248" w:line="326"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27.10.2017 «06/12187</w:t>
      </w:r>
    </w:p>
    <w:p>
      <w:pPr>
        <w:pStyle w:val="Style7"/>
        <w:widowControl w:val="0"/>
        <w:keepNext w:val="0"/>
        <w:keepLines w:val="0"/>
        <w:shd w:val="clear" w:color="auto" w:fill="auto"/>
        <w:bidi w:val="0"/>
        <w:jc w:val="both"/>
        <w:spacing w:before="0" w:after="3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66" w:val="right"/>
          <w:tab w:leader="none" w:pos="8400" w:val="right"/>
          <w:tab w:leader="none" w:pos="960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2" w:val="right"/>
          <w:tab w:leader="none" w:pos="8381"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87"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393" w:left="843" w:right="685" w:bottom="8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0">
    <w:multiLevelType w:val="multilevel"/>
    <w:lvl w:ilvl="0">
      <w:start w:val="2"/>
      <w:numFmt w:val="decimal"/>
      <w:lvlText w:val="8.1.%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2">
    <w:multiLevelType w:val="multilevel"/>
    <w:lvl w:ilvl="0">
      <w:start w:val="2"/>
      <w:numFmt w:val="decimal"/>
      <w:lvlText w:val="8.%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Подпись к таблице (2)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Подпись к таблице (2)"/>
    <w:basedOn w:val="CharStyle13"/>
    <w:rPr>
      <w:lang w:val="ru-RU" w:eastAsia="ru-RU" w:bidi="ru-RU"/>
      <w:u w:val="single"/>
      <w:w w:val="100"/>
      <w:spacing w:val="0"/>
      <w:color w:val="000000"/>
      <w:position w:val="0"/>
    </w:rPr>
  </w:style>
  <w:style w:type="character" w:customStyle="1" w:styleId="CharStyle15">
    <w:name w:val="Подпись к таблице (2)"/>
    <w:basedOn w:val="CharStyle13"/>
    <w:rPr>
      <w:lang w:val="ru-RU" w:eastAsia="ru-RU" w:bidi="ru-RU"/>
      <w:u w:val="single"/>
      <w:w w:val="100"/>
      <w:spacing w:val="0"/>
      <w:color w:val="000000"/>
      <w:position w:val="0"/>
    </w:rPr>
  </w:style>
  <w:style w:type="character" w:customStyle="1" w:styleId="CharStyle17">
    <w:name w:val="Подпись к таблице (3)_"/>
    <w:basedOn w:val="DefaultParagraphFont"/>
    <w:link w:val="Style16"/>
    <w:rPr>
      <w:b w:val="0"/>
      <w:bCs w:val="0"/>
      <w:i w:val="0"/>
      <w:iCs w:val="0"/>
      <w:u w:val="none"/>
      <w:strike w:val="0"/>
      <w:smallCaps w:val="0"/>
      <w:sz w:val="21"/>
      <w:szCs w:val="21"/>
      <w:rFonts w:ascii="Times New Roman" w:eastAsia="Times New Roman" w:hAnsi="Times New Roman" w:cs="Times New Roman"/>
    </w:rPr>
  </w:style>
  <w:style w:type="character" w:customStyle="1" w:styleId="CharStyle18">
    <w:name w:val="Основной текст + 10,5 pt"/>
    <w:basedOn w:val="CharStyle9"/>
    <w:rPr>
      <w:lang w:val="ru-RU" w:eastAsia="ru-RU" w:bidi="ru-RU"/>
      <w:sz w:val="21"/>
      <w:szCs w:val="21"/>
      <w:w w:val="100"/>
      <w:spacing w:val="0"/>
      <w:color w:val="000000"/>
      <w:position w:val="0"/>
    </w:rPr>
  </w:style>
  <w:style w:type="character" w:customStyle="1" w:styleId="CharStyle20">
    <w:name w:val="Основной текст (5)_"/>
    <w:basedOn w:val="DefaultParagraphFont"/>
    <w:link w:val="Style19"/>
    <w:rPr>
      <w:b w:val="0"/>
      <w:bCs w:val="0"/>
      <w:i w:val="0"/>
      <w:iCs w:val="0"/>
      <w:u w:val="none"/>
      <w:strike w:val="0"/>
      <w:smallCaps w:val="0"/>
      <w:sz w:val="21"/>
      <w:szCs w:val="21"/>
      <w:rFonts w:ascii="Times New Roman" w:eastAsia="Times New Roman" w:hAnsi="Times New Roman" w:cs="Times New Roman"/>
    </w:rPr>
  </w:style>
  <w:style w:type="character" w:customStyle="1" w:styleId="CharStyle21">
    <w:name w:val="Основной текст (5)"/>
    <w:basedOn w:val="CharStyle20"/>
    <w:rPr>
      <w:lang w:val="ru-RU" w:eastAsia="ru-RU" w:bidi="ru-RU"/>
      <w:u w:val="single"/>
      <w:w w:val="100"/>
      <w:spacing w:val="0"/>
      <w:color w:val="000000"/>
      <w:position w:val="0"/>
    </w:rPr>
  </w:style>
  <w:style w:type="character" w:customStyle="1" w:styleId="CharStyle22">
    <w:name w:val="Основной текст"/>
    <w:basedOn w:val="CharStyle9"/>
    <w:rPr>
      <w:lang w:val="ru-RU" w:eastAsia="ru-RU" w:bidi="ru-RU"/>
      <w:w w:val="100"/>
      <w:spacing w:val="0"/>
      <w:color w:val="000000"/>
      <w:position w:val="0"/>
    </w:rPr>
  </w:style>
  <w:style w:type="character" w:customStyle="1" w:styleId="CharStyle24">
    <w:name w:val="Подпись к таблице_"/>
    <w:basedOn w:val="DefaultParagraphFont"/>
    <w:link w:val="Style23"/>
    <w:rPr>
      <w:b/>
      <w:bCs/>
      <w:i w:val="0"/>
      <w:iCs w:val="0"/>
      <w:u w:val="none"/>
      <w:strike w:val="0"/>
      <w:smallCaps w:val="0"/>
      <w:sz w:val="19"/>
      <w:szCs w:val="19"/>
      <w:rFonts w:ascii="Times New Roman" w:eastAsia="Times New Roman" w:hAnsi="Times New Roman" w:cs="Times New Roman"/>
    </w:rPr>
  </w:style>
  <w:style w:type="character" w:customStyle="1" w:styleId="CharStyle25">
    <w:name w:val="Подпись к таблице"/>
    <w:basedOn w:val="CharStyle24"/>
    <w:rPr>
      <w:lang w:val="ru-RU" w:eastAsia="ru-RU" w:bidi="ru-RU"/>
      <w:u w:val="single"/>
      <w:w w:val="100"/>
      <w:spacing w:val="0"/>
      <w:color w:val="000000"/>
      <w:position w:val="0"/>
    </w:rPr>
  </w:style>
  <w:style w:type="character" w:customStyle="1" w:styleId="CharStyle26">
    <w:name w:val="Основной текст + 9,5 pt,Полужирный"/>
    <w:basedOn w:val="CharStyle9"/>
    <w:rPr>
      <w:lang w:val="ru-RU" w:eastAsia="ru-RU" w:bidi="ru-RU"/>
      <w:b/>
      <w:bCs/>
      <w:sz w:val="19"/>
      <w:szCs w:val="19"/>
      <w:w w:val="100"/>
      <w:spacing w:val="0"/>
      <w:color w:val="000000"/>
      <w:position w:val="0"/>
    </w:rPr>
  </w:style>
  <w:style w:type="character" w:customStyle="1" w:styleId="CharStyle27">
    <w:name w:val="Основной текст + 9,5 pt"/>
    <w:basedOn w:val="CharStyle9"/>
    <w:rPr>
      <w:lang w:val="ru-RU" w:eastAsia="ru-RU" w:bidi="ru-RU"/>
      <w:sz w:val="19"/>
      <w:szCs w:val="19"/>
      <w:w w:val="100"/>
      <w:spacing w:val="0"/>
      <w:color w:val="000000"/>
      <w:position w:val="0"/>
    </w:rPr>
  </w:style>
  <w:style w:type="character" w:customStyle="1" w:styleId="CharStyle28">
    <w:name w:val="Основной текст + Интервал 1 pt"/>
    <w:basedOn w:val="CharStyle9"/>
    <w:rPr>
      <w:lang w:val="ru-RU" w:eastAsia="ru-RU" w:bidi="ru-RU"/>
      <w:w w:val="100"/>
      <w:spacing w:val="30"/>
      <w:color w:val="000000"/>
      <w:position w:val="0"/>
    </w:rPr>
  </w:style>
  <w:style w:type="character" w:customStyle="1" w:styleId="CharStyle30">
    <w:name w:val="Основной текст (6)_"/>
    <w:basedOn w:val="DefaultParagraphFont"/>
    <w:link w:val="Style29"/>
    <w:rPr>
      <w:b w:val="0"/>
      <w:bCs w:val="0"/>
      <w:i w:val="0"/>
      <w:iCs w:val="0"/>
      <w:u w:val="none"/>
      <w:strike w:val="0"/>
      <w:smallCaps w:val="0"/>
      <w:sz w:val="19"/>
      <w:szCs w:val="19"/>
      <w:rFonts w:ascii="Times New Roman" w:eastAsia="Times New Roman" w:hAnsi="Times New Roman" w:cs="Times New Roman"/>
    </w:rPr>
  </w:style>
  <w:style w:type="character" w:customStyle="1" w:styleId="CharStyle31">
    <w:name w:val="Основной текст + 10,5 pt"/>
    <w:basedOn w:val="CharStyle9"/>
    <w:rPr>
      <w:lang w:val="ru-RU" w:eastAsia="ru-RU" w:bidi="ru-RU"/>
      <w:sz w:val="21"/>
      <w:szCs w:val="21"/>
      <w:w w:val="100"/>
      <w:spacing w:val="0"/>
      <w:color w:val="000000"/>
      <w:position w:val="0"/>
    </w:rPr>
  </w:style>
  <w:style w:type="character" w:customStyle="1" w:styleId="CharStyle32">
    <w:name w:val="Основной текст (5) + 13 pt"/>
    <w:basedOn w:val="CharStyle20"/>
    <w:rPr>
      <w:lang w:val="ru-RU" w:eastAsia="ru-RU" w:bidi="ru-RU"/>
      <w:sz w:val="26"/>
      <w:szCs w:val="26"/>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9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30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Подпись к таблице (2)"/>
    <w:basedOn w:val="Normal"/>
    <w:link w:val="CharStyle13"/>
    <w:pPr>
      <w:widowControl w:val="0"/>
      <w:shd w:val="clear" w:color="auto" w:fill="FFFFFF"/>
      <w:jc w:val="both"/>
      <w:spacing w:line="322" w:lineRule="exact"/>
      <w:ind w:firstLine="700"/>
    </w:pPr>
    <w:rPr>
      <w:b w:val="0"/>
      <w:bCs w:val="0"/>
      <w:i w:val="0"/>
      <w:iCs w:val="0"/>
      <w:u w:val="none"/>
      <w:strike w:val="0"/>
      <w:smallCaps w:val="0"/>
      <w:sz w:val="26"/>
      <w:szCs w:val="26"/>
      <w:rFonts w:ascii="Times New Roman" w:eastAsia="Times New Roman" w:hAnsi="Times New Roman" w:cs="Times New Roman"/>
    </w:rPr>
  </w:style>
  <w:style w:type="paragraph" w:customStyle="1" w:styleId="Style16">
    <w:name w:val="Подпись к таблице (3)"/>
    <w:basedOn w:val="Normal"/>
    <w:link w:val="CharStyle17"/>
    <w:pPr>
      <w:widowControl w:val="0"/>
      <w:shd w:val="clear" w:color="auto" w:fill="FFFFFF"/>
      <w:jc w:val="both"/>
      <w:spacing w:line="254" w:lineRule="exact"/>
      <w:ind w:firstLine="520"/>
    </w:pPr>
    <w:rPr>
      <w:b w:val="0"/>
      <w:bCs w:val="0"/>
      <w:i w:val="0"/>
      <w:iCs w:val="0"/>
      <w:u w:val="none"/>
      <w:strike w:val="0"/>
      <w:smallCaps w:val="0"/>
      <w:sz w:val="21"/>
      <w:szCs w:val="21"/>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both"/>
      <w:spacing w:line="25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3">
    <w:name w:val="Подпись к таблице"/>
    <w:basedOn w:val="Normal"/>
    <w:link w:val="CharStyle24"/>
    <w:pPr>
      <w:widowControl w:val="0"/>
      <w:shd w:val="clear" w:color="auto" w:fill="FFFFFF"/>
      <w:spacing w:line="230" w:lineRule="exact"/>
      <w:ind w:firstLine="620"/>
    </w:pPr>
    <w:rPr>
      <w:b/>
      <w:bCs/>
      <w:i w:val="0"/>
      <w:iCs w:val="0"/>
      <w:u w:val="none"/>
      <w:strike w:val="0"/>
      <w:smallCaps w:val="0"/>
      <w:sz w:val="19"/>
      <w:szCs w:val="19"/>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226" w:lineRule="exact"/>
      <w:ind w:firstLine="860"/>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