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90" w:lineRule="exact"/>
        <w:ind w:left="0" w:right="0" w:firstLine="0"/>
      </w:pPr>
      <w:r>
        <w:rPr>
          <w:rStyle w:val="CharStyle5"/>
          <w:b/>
          <w:bCs/>
        </w:rPr>
        <w:t>Заявителю:</w:t>
      </w:r>
    </w:p>
    <w:p>
      <w:pPr>
        <w:pStyle w:val="Style6"/>
        <w:widowControl w:val="0"/>
        <w:keepNext w:val="0"/>
        <w:keepLines w:val="0"/>
        <w:shd w:val="clear" w:color="auto" w:fill="auto"/>
        <w:bidi w:val="0"/>
        <w:jc w:val="left"/>
        <w:spacing w:before="0" w:after="228" w:line="260" w:lineRule="exact"/>
        <w:ind w:left="0" w:right="0" w:firstLine="0"/>
      </w:pPr>
      <w:r>
        <w:rPr>
          <w:lang w:val="ru-RU" w:eastAsia="ru-RU" w:bidi="ru-RU"/>
          <w:w w:val="100"/>
          <w:spacing w:val="0"/>
          <w:color w:val="000000"/>
          <w:position w:val="0"/>
        </w:rPr>
        <w:t>ЗАО «Национальная почтовая служба»</w:t>
      </w:r>
    </w:p>
    <w:p>
      <w:pPr>
        <w:pStyle w:val="Style8"/>
        <w:widowControl w:val="0"/>
        <w:keepNext w:val="0"/>
        <w:keepLines w:val="0"/>
        <w:shd w:val="clear" w:color="auto" w:fill="auto"/>
        <w:bidi w:val="0"/>
        <w:spacing w:before="0" w:after="0"/>
        <w:ind w:left="260" w:right="240" w:firstLine="0"/>
        <w:sectPr>
          <w:footnotePr>
            <w:pos w:val="pageBottom"/>
            <w:numFmt w:val="decimal"/>
            <w:numRestart w:val="continuous"/>
          </w:footnotePr>
          <w:type w:val="continuous"/>
          <w:pgSz w:w="16838" w:h="23810"/>
          <w:pgMar w:top="4252" w:left="8484" w:right="2976" w:bottom="3230" w:header="0" w:footer="3" w:gutter="0"/>
          <w:rtlGutter w:val="0"/>
          <w:cols w:space="720"/>
          <w:noEndnote/>
          <w:docGrid w:linePitch="360"/>
        </w:sectPr>
      </w:pPr>
      <w:r>
        <w:rPr>
          <w:lang w:val="ru-RU" w:eastAsia="ru-RU" w:bidi="ru-RU"/>
          <w:w w:val="100"/>
          <w:spacing w:val="0"/>
          <w:color w:val="000000"/>
          <w:position w:val="0"/>
        </w:rPr>
        <w:t xml:space="preserve">630007, г. Новосибирск, ул. Коммунистическая, 2, оф.517 адрес электронной почты: </w:t>
      </w:r>
      <w:r>
        <w:fldChar w:fldCharType="begin"/>
      </w:r>
      <w:r>
        <w:rPr>
          <w:color w:val="000000"/>
        </w:rPr>
        <w:instrText> HYPERLINK "mailto:lawyer@n-post.ru" </w:instrText>
      </w:r>
      <w:r>
        <w:fldChar w:fldCharType="separate"/>
      </w:r>
      <w:r>
        <w:rPr>
          <w:rStyle w:val="Hyperlink"/>
          <w:lang w:val="en-US" w:eastAsia="en-US" w:bidi="en-US"/>
          <w:w w:val="100"/>
          <w:spacing w:val="0"/>
          <w:position w:val="0"/>
        </w:rPr>
        <w:t>lawyer@n-post.ru</w:t>
      </w:r>
      <w:r>
        <w:fldChar w:fldCharType="end"/>
      </w:r>
    </w:p>
    <w:p>
      <w:pPr>
        <w:widowControl w:val="0"/>
        <w:spacing w:line="28"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23" w:line="238" w:lineRule="exact"/>
        <w:ind w:left="0" w:right="0" w:firstLine="0"/>
      </w:pPr>
      <w:r>
        <w:rPr>
          <w:rStyle w:val="CharStyle10"/>
          <w:b/>
          <w:bCs/>
        </w:rPr>
        <w:t>ФЕДЕРАЛЬНАЯ АНТИМОНОПОЛЬНАЯ СЛУЖБА</w:t>
      </w:r>
    </w:p>
    <w:p>
      <w:pPr>
        <w:pStyle w:val="Style11"/>
        <w:widowControl w:val="0"/>
        <w:keepNext w:val="0"/>
        <w:keepLines w:val="0"/>
        <w:shd w:val="clear" w:color="auto" w:fill="auto"/>
        <w:bidi w:val="0"/>
        <w:spacing w:before="0" w:after="115"/>
        <w:ind w:left="0" w:right="0" w:firstLine="0"/>
      </w:pPr>
      <w:r>
        <w:rPr>
          <w:rStyle w:val="CharStyle13"/>
          <w:b/>
          <w:bCs/>
        </w:rPr>
        <w:t>УПРАВЛЕНИЕ Федеральной антимонопольной службы по Томской области</w:t>
      </w:r>
    </w:p>
    <w:p>
      <w:pPr>
        <w:pStyle w:val="Style8"/>
        <w:widowControl w:val="0"/>
        <w:keepNext w:val="0"/>
        <w:keepLines w:val="0"/>
        <w:shd w:val="clear" w:color="auto" w:fill="auto"/>
        <w:bidi w:val="0"/>
        <w:jc w:val="left"/>
        <w:spacing w:before="0" w:after="0" w:line="216" w:lineRule="exact"/>
        <w:ind w:left="1040" w:right="1140" w:firstLine="0"/>
      </w:pPr>
      <w:r>
        <w:rPr>
          <w:rStyle w:val="CharStyle14"/>
        </w:rPr>
        <w:t xml:space="preserve">пр. Ленина. 111, г. Томск. 634069 тел ./фа кс (3822) 51-29-80 </w:t>
      </w:r>
      <w:r>
        <w:rPr>
          <w:rStyle w:val="CharStyle14"/>
          <w:lang w:val="en-US" w:eastAsia="en-US" w:bidi="en-US"/>
        </w:rPr>
        <w:t>e-mail :</w:t>
      </w:r>
      <w:r>
        <w:rPr>
          <w:rStyle w:val="CharStyle15"/>
        </w:rPr>
        <w:t>to7Q-fl'. fas.gov.ru</w:t>
      </w:r>
    </w:p>
    <w:p>
      <w:pPr>
        <w:pStyle w:val="Style16"/>
        <w:widowControl w:val="0"/>
        <w:keepNext/>
        <w:keepLines/>
        <w:shd w:val="clear" w:color="auto" w:fill="auto"/>
        <w:bidi w:val="0"/>
        <w:jc w:val="left"/>
        <w:spacing w:before="0" w:after="0" w:line="420" w:lineRule="exact"/>
        <w:ind w:left="400" w:right="0" w:firstLine="0"/>
      </w:pPr>
      <w:bookmarkStart w:id="0" w:name="bookmark0"/>
      <w:r>
        <w:rPr>
          <w:rStyle w:val="CharStyle18"/>
          <w:i w:val="0"/>
          <w:iCs w:val="0"/>
        </w:rPr>
        <w:t xml:space="preserve">// </w:t>
      </w:r>
      <w:r>
        <w:rPr>
          <w:rStyle w:val="CharStyle19"/>
          <w:lang w:val="ru-RU" w:eastAsia="ru-RU" w:bidi="ru-RU"/>
          <w:i/>
          <w:iCs/>
        </w:rPr>
        <w:t xml:space="preserve">09. </w:t>
      </w:r>
      <w:r>
        <w:rPr>
          <w:rStyle w:val="CharStyle19"/>
          <w:i/>
          <w:iCs/>
        </w:rPr>
        <w:t>Cot?</w:t>
      </w:r>
      <w:r>
        <w:rPr>
          <w:rStyle w:val="CharStyle18"/>
          <w:lang w:val="en-US" w:eastAsia="en-US" w:bidi="en-US"/>
          <w:i w:val="0"/>
          <w:iCs w:val="0"/>
        </w:rPr>
        <w:t xml:space="preserve"> </w:t>
      </w:r>
      <w:r>
        <w:rPr>
          <w:rStyle w:val="CharStyle20"/>
          <w:i w:val="0"/>
          <w:iCs w:val="0"/>
        </w:rPr>
        <w:t>xs</w:t>
      </w:r>
      <w:bookmarkEnd w:id="0"/>
    </w:p>
    <w:p>
      <w:pPr>
        <w:pStyle w:val="Style3"/>
        <w:widowControl w:val="0"/>
        <w:keepNext w:val="0"/>
        <w:keepLines w:val="0"/>
        <w:shd w:val="clear" w:color="auto" w:fill="auto"/>
        <w:bidi w:val="0"/>
        <w:jc w:val="both"/>
        <w:spacing w:before="0" w:after="58" w:line="190" w:lineRule="exact"/>
        <w:ind w:left="0" w:right="0" w:firstLine="0"/>
      </w:pPr>
      <w:r>
        <w:rPr>
          <w:rStyle w:val="CharStyle5"/>
          <w:b/>
          <w:bCs/>
        </w:rPr>
        <w:t>Заказчику:</w:t>
      </w:r>
    </w:p>
    <w:p>
      <w:pPr>
        <w:pStyle w:val="Style6"/>
        <w:widowControl w:val="0"/>
        <w:keepNext w:val="0"/>
        <w:keepLines w:val="0"/>
        <w:shd w:val="clear" w:color="auto" w:fill="auto"/>
        <w:bidi w:val="0"/>
        <w:jc w:val="both"/>
        <w:spacing w:before="0" w:after="0" w:line="317" w:lineRule="exact"/>
        <w:ind w:left="0" w:right="540" w:firstLine="0"/>
      </w:pPr>
      <w:r>
        <w:rPr>
          <w:lang w:val="ru-RU" w:eastAsia="ru-RU" w:bidi="ru-RU"/>
          <w:w w:val="100"/>
          <w:spacing w:val="0"/>
          <w:color w:val="000000"/>
          <w:position w:val="0"/>
        </w:rPr>
        <w:t>ОГКУ «Специализированное монтажно</w:t>
        <w:softHyphen/>
        <w:t>эксплуатационное учреждение Томской области»</w:t>
      </w:r>
    </w:p>
    <w:p>
      <w:pPr>
        <w:pStyle w:val="Style8"/>
        <w:widowControl w:val="0"/>
        <w:keepNext w:val="0"/>
        <w:keepLines w:val="0"/>
        <w:shd w:val="clear" w:color="auto" w:fill="auto"/>
        <w:bidi w:val="0"/>
        <w:spacing w:before="0" w:after="0" w:line="230" w:lineRule="exact"/>
        <w:ind w:left="720" w:right="20" w:firstLine="0"/>
        <w:sectPr>
          <w:type w:val="continuous"/>
          <w:pgSz w:w="16838" w:h="23810"/>
          <w:pgMar w:top="4252" w:left="3066" w:right="3156" w:bottom="3230" w:header="0" w:footer="3" w:gutter="0"/>
          <w:rtlGutter w:val="0"/>
          <w:cols w:num="2" w:space="284"/>
          <w:noEndnote/>
          <w:docGrid w:linePitch="360"/>
        </w:sectPr>
      </w:pPr>
      <w:r>
        <w:rPr>
          <w:lang w:val="ru-RU" w:eastAsia="ru-RU" w:bidi="ru-RU"/>
          <w:w w:val="100"/>
          <w:spacing w:val="0"/>
          <w:color w:val="000000"/>
          <w:position w:val="0"/>
        </w:rPr>
        <w:t xml:space="preserve">634062, г. Томск, Иркутский тр-т, 79/1 адрес электронной почты: </w:t>
      </w:r>
      <w:r>
        <w:fldChar w:fldCharType="begin"/>
      </w:r>
      <w:r>
        <w:rPr>
          <w:color w:val="000000"/>
        </w:rPr>
        <w:instrText> HYPERLINK "mailto:Smeu2013.tomsk@mail.ru" </w:instrText>
      </w:r>
      <w:r>
        <w:fldChar w:fldCharType="separate"/>
      </w:r>
      <w:r>
        <w:rPr>
          <w:rStyle w:val="Hyperlink"/>
          <w:lang w:val="en-US" w:eastAsia="en-US" w:bidi="en-US"/>
          <w:w w:val="100"/>
          <w:spacing w:val="0"/>
          <w:position w:val="0"/>
        </w:rPr>
        <w:t>Smeu2013.tomsk@mail.ru</w:t>
      </w:r>
      <w:r>
        <w:fldChar w:fldCharType="end"/>
      </w:r>
    </w:p>
    <w:p>
      <w:pPr>
        <w:widowControl w:val="0"/>
        <w:spacing w:line="183" w:lineRule="exact"/>
        <w:rPr>
          <w:sz w:val="15"/>
          <w:szCs w:val="1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1"/>
        <w:framePr w:h="180" w:wrap="around" w:vAnchor="text" w:hAnchor="margin" w:x="2300" w:y="-2"/>
        <w:widowControl w:val="0"/>
        <w:keepNext w:val="0"/>
        <w:keepLines w:val="0"/>
        <w:shd w:val="clear" w:color="auto" w:fill="auto"/>
        <w:bidi w:val="0"/>
        <w:jc w:val="left"/>
        <w:spacing w:before="0" w:after="0" w:line="180" w:lineRule="exact"/>
        <w:ind w:left="100" w:right="0" w:firstLine="0"/>
      </w:pPr>
      <w:r>
        <w:rPr>
          <w:rStyle w:val="CharStyle23"/>
          <w:spacing w:val="0"/>
        </w:rPr>
        <w:t>от</w:t>
      </w:r>
    </w:p>
    <w:p>
      <w:pPr>
        <w:pStyle w:val="Style21"/>
        <w:widowControl w:val="0"/>
        <w:keepNext w:val="0"/>
        <w:keepLines w:val="0"/>
        <w:shd w:val="clear" w:color="auto" w:fill="auto"/>
        <w:bidi w:val="0"/>
        <w:spacing w:before="0" w:after="925" w:line="190" w:lineRule="exact"/>
        <w:ind w:left="40" w:right="0" w:firstLine="0"/>
      </w:pPr>
      <w:r>
        <w:rPr>
          <w:rStyle w:val="CharStyle25"/>
        </w:rPr>
        <w:t>На Х°</w:t>
      </w:r>
    </w:p>
    <w:p>
      <w:pPr>
        <w:pStyle w:val="Style6"/>
        <w:widowControl w:val="0"/>
        <w:keepNext w:val="0"/>
        <w:keepLines w:val="0"/>
        <w:shd w:val="clear" w:color="auto" w:fill="auto"/>
        <w:bidi w:val="0"/>
        <w:jc w:val="left"/>
        <w:spacing w:before="0" w:after="0" w:line="310" w:lineRule="exact"/>
        <w:ind w:left="40" w:right="3300" w:firstLine="3160"/>
      </w:pPr>
      <w:r>
        <w:rPr>
          <w:lang w:val="ru-RU" w:eastAsia="ru-RU" w:bidi="ru-RU"/>
          <w:w w:val="100"/>
          <w:spacing w:val="0"/>
          <w:color w:val="000000"/>
          <w:position w:val="0"/>
        </w:rPr>
        <w:t>РЕШЕНИЕ по делу №03-10/173-17 Резолютивная часть решения оглашена «12» сентября 2017г.</w:t>
      </w:r>
    </w:p>
    <w:p>
      <w:pPr>
        <w:pStyle w:val="Style6"/>
        <w:tabs>
          <w:tab w:leader="none" w:pos="9566" w:val="center"/>
          <w:tab w:leader="none" w:pos="10445" w:val="right"/>
        </w:tabs>
        <w:widowControl w:val="0"/>
        <w:keepNext w:val="0"/>
        <w:keepLines w:val="0"/>
        <w:shd w:val="clear" w:color="auto" w:fill="auto"/>
        <w:bidi w:val="0"/>
        <w:jc w:val="both"/>
        <w:spacing w:before="0" w:after="0" w:line="310" w:lineRule="exact"/>
        <w:ind w:left="40" w:right="0" w:firstLine="0"/>
      </w:pPr>
      <w:r>
        <w:rPr>
          <w:lang w:val="ru-RU" w:eastAsia="ru-RU" w:bidi="ru-RU"/>
          <w:w w:val="100"/>
          <w:spacing w:val="0"/>
          <w:color w:val="000000"/>
          <w:position w:val="0"/>
        </w:rPr>
        <w:t>Решение изготовлено в полном объеме «15» сентября 2017г.</w:t>
        <w:tab/>
        <w:t>г.</w:t>
        <w:tab/>
        <w:t>Томск</w:t>
      </w:r>
    </w:p>
    <w:p>
      <w:pPr>
        <w:pStyle w:val="Style6"/>
        <w:widowControl w:val="0"/>
        <w:keepNext w:val="0"/>
        <w:keepLines w:val="0"/>
        <w:shd w:val="clear" w:color="auto" w:fill="auto"/>
        <w:bidi w:val="0"/>
        <w:jc w:val="left"/>
        <w:spacing w:before="0" w:after="0" w:line="310" w:lineRule="exact"/>
        <w:ind w:left="40" w:right="40" w:firstLine="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6"/>
        <w:tabs>
          <w:tab w:leader="none" w:pos="2809" w:val="left"/>
          <w:tab w:leader="none" w:pos="10445" w:val="right"/>
        </w:tabs>
        <w:widowControl w:val="0"/>
        <w:keepNext w:val="0"/>
        <w:keepLines w:val="0"/>
        <w:shd w:val="clear" w:color="auto" w:fill="auto"/>
        <w:bidi w:val="0"/>
        <w:jc w:val="both"/>
        <w:spacing w:before="0" w:after="0" w:line="310" w:lineRule="exact"/>
        <w:ind w:left="40" w:right="0" w:firstLine="0"/>
      </w:pPr>
      <w:r>
        <w:rPr>
          <w:lang w:val="ru-RU" w:eastAsia="ru-RU" w:bidi="ru-RU"/>
          <w:w w:val="100"/>
          <w:spacing w:val="0"/>
          <w:color w:val="000000"/>
          <w:position w:val="0"/>
        </w:rPr>
        <w:t>Алиева Р.А.,</w:t>
        <w:tab/>
        <w:t>заместителя руководителя - начальника отдела</w:t>
        <w:tab/>
        <w:t>контроля</w:t>
      </w:r>
    </w:p>
    <w:p>
      <w:pPr>
        <w:pStyle w:val="Style6"/>
        <w:widowControl w:val="0"/>
        <w:keepNext w:val="0"/>
        <w:keepLines w:val="0"/>
        <w:shd w:val="clear" w:color="auto" w:fill="auto"/>
        <w:bidi w:val="0"/>
        <w:jc w:val="left"/>
        <w:spacing w:before="0" w:after="0" w:line="310" w:lineRule="exact"/>
        <w:ind w:left="2900" w:right="0" w:firstLine="0"/>
      </w:pPr>
      <w:r>
        <w:rPr>
          <w:lang w:val="ru-RU" w:eastAsia="ru-RU" w:bidi="ru-RU"/>
          <w:w w:val="100"/>
          <w:spacing w:val="0"/>
          <w:color w:val="000000"/>
          <w:position w:val="0"/>
        </w:rPr>
        <w:t>закупок;</w:t>
      </w:r>
    </w:p>
    <w:p>
      <w:pPr>
        <w:pStyle w:val="Style6"/>
        <w:widowControl w:val="0"/>
        <w:keepNext w:val="0"/>
        <w:keepLines w:val="0"/>
        <w:shd w:val="clear" w:color="auto" w:fill="auto"/>
        <w:bidi w:val="0"/>
        <w:jc w:val="both"/>
        <w:spacing w:before="0" w:after="0" w:line="306" w:lineRule="exact"/>
        <w:ind w:left="40" w:right="0" w:firstLine="0"/>
      </w:pPr>
      <w:r>
        <w:rPr>
          <w:lang w:val="ru-RU" w:eastAsia="ru-RU" w:bidi="ru-RU"/>
          <w:w w:val="100"/>
          <w:spacing w:val="0"/>
          <w:color w:val="000000"/>
          <w:position w:val="0"/>
        </w:rPr>
        <w:t>членов комиссии:</w:t>
      </w:r>
    </w:p>
    <w:p>
      <w:pPr>
        <w:pStyle w:val="Style6"/>
        <w:tabs>
          <w:tab w:leader="none" w:pos="2809" w:val="left"/>
        </w:tabs>
        <w:widowControl w:val="0"/>
        <w:keepNext w:val="0"/>
        <w:keepLines w:val="0"/>
        <w:shd w:val="clear" w:color="auto" w:fill="auto"/>
        <w:bidi w:val="0"/>
        <w:jc w:val="both"/>
        <w:spacing w:before="0" w:after="0" w:line="306" w:lineRule="exact"/>
        <w:ind w:left="4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6"/>
        <w:tabs>
          <w:tab w:leader="none" w:pos="2809" w:val="left"/>
        </w:tabs>
        <w:widowControl w:val="0"/>
        <w:keepNext w:val="0"/>
        <w:keepLines w:val="0"/>
        <w:shd w:val="clear" w:color="auto" w:fill="auto"/>
        <w:bidi w:val="0"/>
        <w:jc w:val="both"/>
        <w:spacing w:before="0" w:after="0" w:line="306" w:lineRule="exact"/>
        <w:ind w:left="40" w:right="0" w:firstLine="0"/>
      </w:pPr>
      <w:r>
        <w:rPr>
          <w:lang w:val="ru-RU" w:eastAsia="ru-RU" w:bidi="ru-RU"/>
          <w:w w:val="100"/>
          <w:spacing w:val="0"/>
          <w:color w:val="000000"/>
          <w:position w:val="0"/>
        </w:rPr>
        <w:t>Некрасовой Л.А.,</w:t>
        <w:tab/>
        <w:t>ведущего специалиста-эксперта отдела контроля закупок;</w:t>
      </w:r>
    </w:p>
    <w:p>
      <w:pPr>
        <w:pStyle w:val="Style6"/>
        <w:tabs>
          <w:tab w:leader="none" w:pos="2809" w:val="left"/>
        </w:tabs>
        <w:widowControl w:val="0"/>
        <w:keepNext w:val="0"/>
        <w:keepLines w:val="0"/>
        <w:shd w:val="clear" w:color="auto" w:fill="auto"/>
        <w:bidi w:val="0"/>
        <w:jc w:val="both"/>
        <w:spacing w:before="0" w:after="0" w:line="306" w:lineRule="exact"/>
        <w:ind w:left="40" w:right="0" w:firstLine="0"/>
      </w:pPr>
      <w:r>
        <w:rPr>
          <w:lang w:val="ru-RU" w:eastAsia="ru-RU" w:bidi="ru-RU"/>
          <w:w w:val="100"/>
          <w:spacing w:val="0"/>
          <w:color w:val="000000"/>
          <w:position w:val="0"/>
        </w:rPr>
        <w:t>Насоновой В.К.,</w:t>
        <w:tab/>
        <w:t>специалиста-эксперта отдела контроля закупок;</w:t>
      </w:r>
    </w:p>
    <w:p>
      <w:pPr>
        <w:pStyle w:val="Style6"/>
        <w:widowControl w:val="0"/>
        <w:keepNext w:val="0"/>
        <w:keepLines w:val="0"/>
        <w:shd w:val="clear" w:color="auto" w:fill="auto"/>
        <w:bidi w:val="0"/>
        <w:jc w:val="both"/>
        <w:spacing w:before="0" w:after="0" w:line="306" w:lineRule="exact"/>
        <w:ind w:left="40" w:right="0" w:firstLine="0"/>
      </w:pPr>
      <w:r>
        <w:rPr>
          <w:lang w:val="ru-RU" w:eastAsia="ru-RU" w:bidi="ru-RU"/>
          <w:w w:val="100"/>
          <w:spacing w:val="0"/>
          <w:color w:val="000000"/>
          <w:position w:val="0"/>
        </w:rPr>
        <w:t>Ташпулатовой Г.М., специалиста-эксперта отдела контроля рекламы,</w:t>
      </w:r>
    </w:p>
    <w:p>
      <w:pPr>
        <w:pStyle w:val="Style6"/>
        <w:widowControl w:val="0"/>
        <w:keepNext w:val="0"/>
        <w:keepLines w:val="0"/>
        <w:shd w:val="clear" w:color="auto" w:fill="auto"/>
        <w:bidi w:val="0"/>
        <w:jc w:val="both"/>
        <w:spacing w:before="0" w:after="0" w:line="306" w:lineRule="exact"/>
        <w:ind w:left="40" w:right="40" w:firstLine="2860"/>
      </w:pPr>
      <w:r>
        <w:rPr>
          <w:lang w:val="ru-RU" w:eastAsia="ru-RU" w:bidi="ru-RU"/>
          <w:w w:val="100"/>
          <w:spacing w:val="0"/>
          <w:color w:val="000000"/>
          <w:position w:val="0"/>
        </w:rPr>
        <w:t>недобросовестной конкуренции и адвокатирования, при участии представителей заказчика ОГКУ «Специализированное монтажно</w:t>
        <w:softHyphen/>
        <w:t>эксплуатационное учреждение Томской области» (далее - заказчик) Давыдовой Е.Ю. (доверенность от 11.09.2017), Щитова В.П. (доверенность от 11.09.2017), без участия заявителя — Закрытого акционерного общества «Национальная почтовая служба» (далее - ЗАО «НПС», Общество, заявитель), уведомленного о времени и месте рассмотрения жалобы №03-10/173-17 (исх.№ВН/6693 от 07.09.2017), рассмотрев дело №03-10/173-17, возбужденное по жалобе ЗАО «НПС» на действия заказчика при проведении закупки у единственного поставщика «Пересылка почтовых отправлений (для 20 комплексов)» (извещение №0365100014617000001),</w:t>
      </w:r>
    </w:p>
    <w:p>
      <w:pPr>
        <w:pStyle w:val="Style6"/>
        <w:widowControl w:val="0"/>
        <w:keepNext w:val="0"/>
        <w:keepLines w:val="0"/>
        <w:shd w:val="clear" w:color="auto" w:fill="auto"/>
        <w:bidi w:val="0"/>
        <w:jc w:val="left"/>
        <w:spacing w:before="0" w:after="0" w:line="306" w:lineRule="exact"/>
        <w:ind w:left="4660" w:right="0" w:firstLine="0"/>
      </w:pPr>
      <w:r>
        <w:rPr>
          <w:rStyle w:val="CharStyle26"/>
        </w:rPr>
        <w:t>УСТАНОВИЛА:</w:t>
      </w:r>
    </w:p>
    <w:p>
      <w:pPr>
        <w:pStyle w:val="Style6"/>
        <w:tabs>
          <w:tab w:leader="none" w:pos="10445" w:val="right"/>
        </w:tabs>
        <w:widowControl w:val="0"/>
        <w:keepNext w:val="0"/>
        <w:keepLines w:val="0"/>
        <w:shd w:val="clear" w:color="auto" w:fill="auto"/>
        <w:bidi w:val="0"/>
        <w:jc w:val="both"/>
        <w:spacing w:before="0" w:after="0" w:line="306" w:lineRule="exact"/>
        <w:ind w:left="40" w:right="40" w:firstLine="860"/>
      </w:pPr>
      <w:r>
        <w:rPr>
          <w:lang w:val="ru-RU" w:eastAsia="ru-RU" w:bidi="ru-RU"/>
          <w:w w:val="100"/>
          <w:spacing w:val="0"/>
          <w:color w:val="000000"/>
          <w:position w:val="0"/>
        </w:rPr>
        <w:t>В Томское УФАС России обратилось ЗАО «НПС» (вх.№5841 от 06.09.2017) с жалобой, поданной в срок и соответствующей ст. 105 Федерального закона № 44-ФЗ от 05.04.2013 «О контрактной системе в сфере закупок товаров, работ, услуг для государственных и муниципальных нужд» (далее - Закон 44-ФЗ, Закон о контрактной системе), на действия заказчика при проведении закупки у единственного поставщика «Пересылка почтовых отправлений (для 20 комплексов)»</w:t>
        <w:tab/>
        <w:t>(извещение</w:t>
      </w:r>
    </w:p>
    <w:p>
      <w:pPr>
        <w:pStyle w:val="Style6"/>
        <w:widowControl w:val="0"/>
        <w:keepNext w:val="0"/>
        <w:keepLines w:val="0"/>
        <w:shd w:val="clear" w:color="auto" w:fill="auto"/>
        <w:bidi w:val="0"/>
        <w:jc w:val="both"/>
        <w:spacing w:before="0" w:after="293" w:line="306" w:lineRule="exact"/>
        <w:ind w:left="40" w:right="0" w:firstLine="0"/>
      </w:pPr>
      <w:r>
        <w:rPr>
          <w:lang w:val="ru-RU" w:eastAsia="ru-RU" w:bidi="ru-RU"/>
          <w:w w:val="100"/>
          <w:spacing w:val="0"/>
          <w:color w:val="000000"/>
          <w:position w:val="0"/>
        </w:rPr>
        <w:t>№0365100014617000001), нарушающие, по мнению заявителя, законодательство о</w:t>
      </w:r>
    </w:p>
    <w:p>
      <w:pPr>
        <w:pStyle w:val="Style27"/>
        <w:widowControl w:val="0"/>
        <w:keepNext/>
        <w:keepLines/>
        <w:shd w:val="clear" w:color="auto" w:fill="auto"/>
        <w:bidi w:val="0"/>
        <w:spacing w:before="0" w:after="0" w:line="240" w:lineRule="exact"/>
        <w:ind w:left="0" w:right="40" w:firstLine="0"/>
        <w:sectPr>
          <w:type w:val="continuous"/>
          <w:pgSz w:w="16838" w:h="23810"/>
          <w:pgMar w:top="4252" w:left="3019" w:right="3321" w:bottom="3230" w:header="0" w:footer="3" w:gutter="0"/>
          <w:rtlGutter w:val="0"/>
          <w:cols w:space="720"/>
          <w:noEndnote/>
          <w:docGrid w:linePitch="360"/>
        </w:sectPr>
      </w:pPr>
      <w:bookmarkStart w:id="1" w:name="bookmark1"/>
      <w:r>
        <w:rPr>
          <w:lang w:val="ru-RU" w:eastAsia="ru-RU" w:bidi="ru-RU"/>
          <w:sz w:val="24"/>
          <w:szCs w:val="24"/>
          <w:w w:val="100"/>
          <w:color w:val="000000"/>
          <w:position w:val="0"/>
        </w:rPr>
        <w:t>008062</w:t>
      </w:r>
      <w:r>
        <w:rPr>
          <w:rStyle w:val="CharStyle29"/>
        </w:rPr>
        <w:t xml:space="preserve"> </w:t>
      </w:r>
      <w:r>
        <w:rPr>
          <w:lang w:val="ru-RU" w:eastAsia="ru-RU" w:bidi="ru-RU"/>
          <w:sz w:val="24"/>
          <w:szCs w:val="24"/>
          <w:w w:val="100"/>
          <w:color w:val="000000"/>
          <w:position w:val="0"/>
        </w:rPr>
        <w:t>1</w:t>
      </w:r>
      <w:bookmarkEnd w:id="1"/>
    </w:p>
    <w:p>
      <w:pPr>
        <w:pStyle w:val="Style6"/>
        <w:widowControl w:val="0"/>
        <w:keepNext w:val="0"/>
        <w:keepLines w:val="0"/>
        <w:shd w:val="clear" w:color="auto" w:fill="auto"/>
        <w:bidi w:val="0"/>
        <w:jc w:val="both"/>
        <w:spacing w:before="0" w:after="0" w:line="335" w:lineRule="exact"/>
        <w:ind w:left="60" w:right="4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В жалобе заявитель сообщает о нарушении заказчиком п.2 ст.42 Закона 44-ФЗ при установлении в извещении о проведении закупки у единственного поставщика ооъема закупаемых услуг в части цены за единицу услуги и общей цены контракта.</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Заявитель в жалобе указывает, что закупаемые услуги почтовой связи, указанные в п. 1.1 договора не предусмотрены ч.1 ст.4 Федерального закона от 17.08.1995 №147-ФЗ «О естественных монополиях» (далее - Закон о естественных монополиях) и не могут относиться к сфере деятельности субъектов естественных монополий, соответственно закупка этих услуг не может осуществляться в рамках способа закупка у единственного поставщика на основании п.1 ч.1 ст.93 Закона 44-ФЗ, следовательно, заказчик в нарушение ч.5 ст.24 Закона 44-ФЗ некорректно выбрал способ определения поставщика, чем ограничил количество участников закупки.</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Кроме этого, в жалобе указано, что тарифы на услуги почтовой связи не приложены к договору.</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На основании изложенного, заявитель просит приостановить заключение договора по закупке №0365100014617000001, провести проверку закупки, привлечь должностное лицо заказчика к административной ответственности, выдать заказчику предписание об устранении нарушений Закона 44-ФЗ.</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В письменном отзыве на жалобу и на заседании Комиссии Томского УФАС России представители заказчика нарушения отрицали и пояснили, что в извещении установлена общая цена за услугу, положения п.2 ст.42 Закона 44-ФЗ в части невозможности определения объема закупаемых услуг не применяются. Пунктом 1.1. договора на оказание услуг общедоступной почтовой связи установлен предмет договора, в который включаются, в том числе дополнительные услуги (хранение и выдача возвращенных почтовых отправлений, подготовка сопроводительной документации (бланков наложенного платежа, бланков адресных ярлыков, бланков сопроводительных адресов и списков ф. 103), наклейка адресного ярлыка, оклейка скотчем, франкированные почтовых отправлений и прочих услуг. Представители заказчика пояснили, что договор на оказание услуг общедоступной почтовой связи предоставляется субъектом естественной монополии в сфере почтовой связи - ФГУП «Почта России», в предмет договора уже включены указанные дополнительные услуги, потребность в которых у заказчика отсутствует. Из представленного ФГУП «Почта России» договора заказчику необходимы такие услуги как прием, обработка, пересылка и выдача всех видов внутренних почтовых отправлений, а также услуга франкирования почтовых отправлений, как сопутствующая и неразрывно связанная с услугой приема и обработки почтовых отправлений.</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Кроме этого, представители заказчика сообщили, что, изучив деятельность ЗАО «НПС» установлено, что на территории Томской области, указанное Общество имеет одну точку, что существенно затрудняет пересылку почтовых отправлений в отдаленные районы Томской области и увеличивает срок пересылки.</w:t>
      </w:r>
    </w:p>
    <w:p>
      <w:pPr>
        <w:pStyle w:val="Style6"/>
        <w:widowControl w:val="0"/>
        <w:keepNext w:val="0"/>
        <w:keepLines w:val="0"/>
        <w:shd w:val="clear" w:color="auto" w:fill="auto"/>
        <w:bidi w:val="0"/>
        <w:jc w:val="both"/>
        <w:spacing w:before="0" w:after="0" w:line="306" w:lineRule="exact"/>
        <w:ind w:left="60" w:right="40" w:firstLine="860"/>
      </w:pPr>
      <w:r>
        <w:rPr>
          <w:lang w:val="ru-RU" w:eastAsia="ru-RU" w:bidi="ru-RU"/>
          <w:w w:val="100"/>
          <w:spacing w:val="0"/>
          <w:color w:val="000000"/>
          <w:position w:val="0"/>
        </w:rPr>
        <w:t>На основании вышеизложенного, представители заказчика просили признать жалобу ЗАО «НПС» необоснованной.</w:t>
      </w:r>
    </w:p>
    <w:p>
      <w:pPr>
        <w:pStyle w:val="Style6"/>
        <w:widowControl w:val="0"/>
        <w:keepNext w:val="0"/>
        <w:keepLines w:val="0"/>
        <w:shd w:val="clear" w:color="auto" w:fill="auto"/>
        <w:bidi w:val="0"/>
        <w:jc w:val="both"/>
        <w:spacing w:before="0" w:after="0" w:line="299" w:lineRule="exact"/>
        <w:ind w:left="60" w:right="40" w:firstLine="860"/>
      </w:pPr>
      <w:r>
        <w:rPr>
          <w:lang w:val="ru-RU" w:eastAsia="ru-RU" w:bidi="ru-RU"/>
          <w:w w:val="100"/>
          <w:spacing w:val="0"/>
          <w:color w:val="000000"/>
          <w:position w:val="0"/>
        </w:rPr>
        <w:t>Изучив доводы жалобы ЗАО «НПС», письменного отзыва заказчика, заслушав представителей заказчика, проведя внеплановую проверку на основании ч.15 ст.99 Закона 44-ФЗ всех материалов закупки №0365100014617000001, Комиссия Томского УФАС России установила:</w:t>
      </w:r>
    </w:p>
    <w:p>
      <w:pPr>
        <w:pStyle w:val="Style6"/>
        <w:widowControl w:val="0"/>
        <w:keepNext w:val="0"/>
        <w:keepLines w:val="0"/>
        <w:shd w:val="clear" w:color="auto" w:fill="auto"/>
        <w:bidi w:val="0"/>
        <w:jc w:val="both"/>
        <w:spacing w:before="0" w:after="0" w:line="302" w:lineRule="exact"/>
        <w:ind w:left="60" w:right="40" w:firstLine="860"/>
      </w:pPr>
      <w:r>
        <w:rPr>
          <w:lang w:val="ru-RU" w:eastAsia="ru-RU" w:bidi="ru-RU"/>
          <w:w w:val="100"/>
          <w:spacing w:val="0"/>
          <w:color w:val="000000"/>
          <w:position w:val="0"/>
        </w:rPr>
        <w:t xml:space="preserve">Извещение №0365100014617000001 о проведении закупки у единственного поставщика и проект контракта (далее по тексту - договор) размещены на Официальном сайте Единой информационной системы в сфере закупок -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31.08.2017 года.</w:t>
      </w:r>
    </w:p>
    <w:p>
      <w:pPr>
        <w:pStyle w:val="Style6"/>
        <w:widowControl w:val="0"/>
        <w:keepNext w:val="0"/>
        <w:keepLines w:val="0"/>
        <w:shd w:val="clear" w:color="auto" w:fill="auto"/>
        <w:bidi w:val="0"/>
        <w:jc w:val="both"/>
        <w:spacing w:before="0" w:after="0" w:line="317" w:lineRule="exact"/>
        <w:ind w:left="60" w:right="0" w:firstLine="840"/>
      </w:pPr>
      <w:r>
        <w:rPr>
          <w:lang w:val="ru-RU" w:eastAsia="ru-RU" w:bidi="ru-RU"/>
          <w:w w:val="100"/>
          <w:spacing w:val="0"/>
          <w:color w:val="000000"/>
          <w:position w:val="0"/>
        </w:rPr>
        <w:t>Идентификационный код закупки: 172702000989370170100115230015310244.</w:t>
      </w:r>
    </w:p>
    <w:p>
      <w:pPr>
        <w:pStyle w:val="Style6"/>
        <w:widowControl w:val="0"/>
        <w:keepNext w:val="0"/>
        <w:keepLines w:val="0"/>
        <w:shd w:val="clear" w:color="auto" w:fill="auto"/>
        <w:bidi w:val="0"/>
        <w:jc w:val="both"/>
        <w:spacing w:before="0" w:after="0" w:line="317" w:lineRule="exact"/>
        <w:ind w:left="60" w:right="0" w:firstLine="840"/>
      </w:pPr>
      <w:r>
        <w:rPr>
          <w:lang w:val="ru-RU" w:eastAsia="ru-RU" w:bidi="ru-RU"/>
          <w:w w:val="100"/>
          <w:spacing w:val="0"/>
          <w:color w:val="000000"/>
          <w:position w:val="0"/>
        </w:rPr>
        <w:t>Начальная (максимальная) цена контракта составляет 7 262 000, 00 рублей.</w:t>
      </w:r>
    </w:p>
    <w:p>
      <w:pPr>
        <w:pStyle w:val="Style6"/>
        <w:widowControl w:val="0"/>
        <w:keepNext w:val="0"/>
        <w:keepLines w:val="0"/>
        <w:shd w:val="clear" w:color="auto" w:fill="auto"/>
        <w:bidi w:val="0"/>
        <w:jc w:val="both"/>
        <w:spacing w:before="0" w:after="0" w:line="317" w:lineRule="exact"/>
        <w:ind w:left="60" w:right="40" w:firstLine="840"/>
      </w:pPr>
      <w:r>
        <w:rPr>
          <w:lang w:val="ru-RU" w:eastAsia="ru-RU" w:bidi="ru-RU"/>
          <w:w w:val="100"/>
          <w:spacing w:val="0"/>
          <w:color w:val="000000"/>
          <w:position w:val="0"/>
        </w:rPr>
        <w:t>Заказчик - ОГКУ «Специализированное монтажно-эксплуатационное учреждение Томской области».</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Объект закупки у единственного поставщика: пересылка почтовых отправлений (для 20 комплексов).</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Частью 2 ст.8 Закона 44-ФЗ установлен запрет на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6"/>
        <w:tabs>
          <w:tab w:leader="none" w:pos="3941" w:val="left"/>
        </w:tabs>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Частью 1 ст.24 Закона 44-ФЗ предусмотрены способы определения поставщиков (подрядчиков, исполнителей):</w:t>
        <w:tab/>
        <w:t>заказчики при осуществлении закупок используют</w:t>
      </w:r>
    </w:p>
    <w:p>
      <w:pPr>
        <w:pStyle w:val="Style6"/>
        <w:widowControl w:val="0"/>
        <w:keepNext w:val="0"/>
        <w:keepLines w:val="0"/>
        <w:shd w:val="clear" w:color="auto" w:fill="auto"/>
        <w:bidi w:val="0"/>
        <w:jc w:val="both"/>
        <w:spacing w:before="0" w:after="0" w:line="306" w:lineRule="exact"/>
        <w:ind w:left="60" w:right="40" w:firstLine="0"/>
      </w:pPr>
      <w:r>
        <w:rPr>
          <w:lang w:val="ru-RU" w:eastAsia="ru-RU" w:bidi="ru-RU"/>
          <w:w w:val="100"/>
          <w:spacing w:val="0"/>
          <w:color w:val="000000"/>
          <w:position w:val="0"/>
        </w:rPr>
        <w:t>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Часть 5 ст.24 Закона 44-ФЗ закрепляет, что заказчик выбирает способ определения поставщика (подрядчика, исполнителя) в соответствии с положениями главы 3 Закона 44- ФЗ. При этом заказчик не вправе совершать действия, влекущие за собой необоснованное сокращение числа участников закупки.</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Частью 2 ст.93 Закона 44-ФЗ установлено, что при осуществлении закупки у единственного поставщика (подрядчика, исполнителя) в случаях, предусмотренных п.п.1 - 3, 6 - 8, 11 - 14, 16 - 19 ч.1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пунктах 1, 2, 4 ст.42 настоящего Федерального закона, а также в пункте 8 данной статьи (если установление требования обеспечения исполнения контракта предусмотрено статьей 96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Пункт 1 ч.1 ст.93 Закона 44-ФЗ устанавливает право заказчика провести закупку у единственного поставщика (подрядчика, исполнителя) в случае осуществления закупки товара, работы или услуги, которые относятся к сфере деятельности субъектов естественных монополий в соответствии с Законом о естественных монополиях, а также услуг центрального депозитария.</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Извещение об осуществлении закупки размещено заказчиком в ЕИС - 31.08.2017. По состоянию на 06.09.2017 (дата поступления жалобы ЗАО «НПС» в Томское УФАС России) контракт по закупке №0365100014617000001 не заключен, срок размещения извещения о проведении закупки, предусмотренный ч.2 ст.93 Закона 44-ФЗ заказчиком соблюден.</w:t>
      </w:r>
    </w:p>
    <w:p>
      <w:pPr>
        <w:pStyle w:val="Style6"/>
        <w:widowControl w:val="0"/>
        <w:keepNext w:val="0"/>
        <w:keepLines w:val="0"/>
        <w:shd w:val="clear" w:color="auto" w:fill="auto"/>
        <w:bidi w:val="0"/>
        <w:jc w:val="both"/>
        <w:spacing w:before="0" w:after="0" w:line="306" w:lineRule="exact"/>
        <w:ind w:left="60" w:right="40" w:firstLine="840"/>
      </w:pPr>
      <w:r>
        <w:rPr>
          <w:lang w:val="ru-RU" w:eastAsia="ru-RU" w:bidi="ru-RU"/>
          <w:w w:val="100"/>
          <w:spacing w:val="0"/>
          <w:color w:val="000000"/>
          <w:position w:val="0"/>
        </w:rPr>
        <w:t>Согласно п.2 ст.42 Закона 44-ФЗ извещение об осуществлении закупки должно содержать краткое изложение условий контракта, содержащее наименование и описание объекта закупки с учетом требований, предусмотренных ст.33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pPr>
        <w:pStyle w:val="Style6"/>
        <w:widowControl w:val="0"/>
        <w:keepNext w:val="0"/>
        <w:keepLines w:val="0"/>
        <w:shd w:val="clear" w:color="auto" w:fill="auto"/>
        <w:bidi w:val="0"/>
        <w:jc w:val="both"/>
        <w:spacing w:before="0" w:after="59" w:line="306" w:lineRule="exact"/>
        <w:ind w:left="60" w:right="40" w:firstLine="860"/>
      </w:pPr>
      <w:r>
        <w:rPr>
          <w:lang w:val="ru-RU" w:eastAsia="ru-RU" w:bidi="ru-RU"/>
          <w:w w:val="100"/>
          <w:spacing w:val="0"/>
          <w:color w:val="000000"/>
          <w:position w:val="0"/>
        </w:rPr>
        <w:t>В извещении, сформированном посредством функционала ЕИС, Комиссия Томского УФАС России установила, что в разделе: «объект закупки» установлено наименование закупаемой услуги, а также описание с учетом кода ОКПД 2. Раздел «Объект закупки» содержит следующую информацию:</w:t>
      </w:r>
    </w:p>
    <w:p>
      <w:pPr>
        <w:pStyle w:val="Style30"/>
        <w:framePr w:w="10458"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Российский рубль</w:t>
      </w:r>
    </w:p>
    <w:tbl>
      <w:tblPr>
        <w:tblOverlap w:val="never"/>
        <w:tblLayout w:type="fixed"/>
        <w:jc w:val="center"/>
      </w:tblPr>
      <w:tblGrid>
        <w:gridCol w:w="2786"/>
        <w:gridCol w:w="1634"/>
        <w:gridCol w:w="1570"/>
        <w:gridCol w:w="1498"/>
        <w:gridCol w:w="1526"/>
        <w:gridCol w:w="1444"/>
      </w:tblGrid>
      <w:tr>
        <w:trPr>
          <w:trHeight w:val="792" w:hRule="exact"/>
        </w:trPr>
        <w:tc>
          <w:tcPr>
            <w:shd w:val="clear" w:color="auto" w:fill="FFFFFF"/>
            <w:tcBorders>
              <w:left w:val="single" w:sz="4"/>
              <w:top w:val="single" w:sz="4"/>
            </w:tcBorders>
            <w:vAlign w:val="bottom"/>
          </w:tcPr>
          <w:p>
            <w:pPr>
              <w:pStyle w:val="Style6"/>
              <w:framePr w:w="10458" w:wrap="notBeside" w:vAnchor="text" w:hAnchor="text" w:xAlign="center" w:y="1"/>
              <w:widowControl w:val="0"/>
              <w:keepNext w:val="0"/>
              <w:keepLines w:val="0"/>
              <w:shd w:val="clear" w:color="auto" w:fill="auto"/>
              <w:bidi w:val="0"/>
              <w:jc w:val="both"/>
              <w:spacing w:before="0" w:after="0" w:line="306" w:lineRule="exact"/>
              <w:ind w:left="0" w:right="0" w:firstLine="0"/>
            </w:pPr>
            <w:r>
              <w:rPr>
                <w:rStyle w:val="CharStyle32"/>
              </w:rPr>
              <w:t>Наименование товара, работ, услуг</w:t>
            </w:r>
          </w:p>
        </w:tc>
        <w:tc>
          <w:tcPr>
            <w:shd w:val="clear" w:color="auto" w:fill="FFFFFF"/>
            <w:tcBorders>
              <w:left w:val="single" w:sz="4"/>
              <w:top w:val="single" w:sz="4"/>
            </w:tcBorders>
            <w:vAlign w:val="bottom"/>
          </w:tcPr>
          <w:p>
            <w:pPr>
              <w:pStyle w:val="Style6"/>
              <w:framePr w:w="10458" w:wrap="notBeside" w:vAnchor="text" w:hAnchor="text" w:xAlign="center" w:y="1"/>
              <w:widowControl w:val="0"/>
              <w:keepNext w:val="0"/>
              <w:keepLines w:val="0"/>
              <w:shd w:val="clear" w:color="auto" w:fill="auto"/>
              <w:bidi w:val="0"/>
              <w:jc w:val="both"/>
              <w:spacing w:before="0" w:after="0" w:line="306" w:lineRule="exact"/>
              <w:ind w:left="0" w:right="0" w:firstLine="0"/>
            </w:pPr>
            <w:r>
              <w:rPr>
                <w:rStyle w:val="CharStyle32"/>
              </w:rPr>
              <w:t>Код по ОКПД2</w:t>
            </w:r>
          </w:p>
        </w:tc>
        <w:tc>
          <w:tcPr>
            <w:shd w:val="clear" w:color="auto" w:fill="FFFFFF"/>
            <w:tcBorders>
              <w:left w:val="single" w:sz="4"/>
              <w:top w:val="single" w:sz="4"/>
            </w:tcBorders>
            <w:vAlign w:val="bottom"/>
          </w:tcPr>
          <w:p>
            <w:pPr>
              <w:pStyle w:val="Style6"/>
              <w:framePr w:w="10458" w:wrap="notBeside" w:vAnchor="text" w:hAnchor="text" w:xAlign="center" w:y="1"/>
              <w:widowControl w:val="0"/>
              <w:keepNext w:val="0"/>
              <w:keepLines w:val="0"/>
              <w:shd w:val="clear" w:color="auto" w:fill="auto"/>
              <w:bidi w:val="0"/>
              <w:jc w:val="left"/>
              <w:spacing w:before="0" w:after="120" w:line="260" w:lineRule="exact"/>
              <w:ind w:left="80" w:right="0" w:firstLine="0"/>
            </w:pPr>
            <w:r>
              <w:rPr>
                <w:rStyle w:val="CharStyle32"/>
              </w:rPr>
              <w:t>Единица</w:t>
            </w:r>
          </w:p>
          <w:p>
            <w:pPr>
              <w:pStyle w:val="Style6"/>
              <w:framePr w:w="10458" w:wrap="notBeside" w:vAnchor="text" w:hAnchor="text" w:xAlign="center" w:y="1"/>
              <w:widowControl w:val="0"/>
              <w:keepNext w:val="0"/>
              <w:keepLines w:val="0"/>
              <w:shd w:val="clear" w:color="auto" w:fill="auto"/>
              <w:bidi w:val="0"/>
              <w:jc w:val="left"/>
              <w:spacing w:before="120" w:after="0" w:line="260" w:lineRule="exact"/>
              <w:ind w:left="80" w:right="0" w:firstLine="0"/>
            </w:pPr>
            <w:r>
              <w:rPr>
                <w:rStyle w:val="CharStyle32"/>
              </w:rPr>
              <w:t>измерения</w:t>
            </w:r>
          </w:p>
        </w:tc>
        <w:tc>
          <w:tcPr>
            <w:shd w:val="clear" w:color="auto" w:fill="FFFFFF"/>
            <w:tcBorders>
              <w:left w:val="single" w:sz="4"/>
              <w:top w:val="single" w:sz="4"/>
            </w:tcBorders>
            <w:vAlign w:val="center"/>
          </w:tcPr>
          <w:p>
            <w:pPr>
              <w:pStyle w:val="Style6"/>
              <w:framePr w:w="10458"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2"/>
              </w:rPr>
              <w:t>Количество</w:t>
            </w:r>
          </w:p>
        </w:tc>
        <w:tc>
          <w:tcPr>
            <w:shd w:val="clear" w:color="auto" w:fill="FFFFFF"/>
            <w:tcBorders>
              <w:left w:val="single" w:sz="4"/>
              <w:top w:val="single" w:sz="4"/>
            </w:tcBorders>
            <w:vAlign w:val="bottom"/>
          </w:tcPr>
          <w:p>
            <w:pPr>
              <w:pStyle w:val="Style6"/>
              <w:framePr w:w="10458" w:wrap="notBeside" w:vAnchor="text" w:hAnchor="text" w:xAlign="center" w:y="1"/>
              <w:widowControl w:val="0"/>
              <w:keepNext w:val="0"/>
              <w:keepLines w:val="0"/>
              <w:shd w:val="clear" w:color="auto" w:fill="auto"/>
              <w:bidi w:val="0"/>
              <w:jc w:val="both"/>
              <w:spacing w:before="0" w:after="0" w:line="313" w:lineRule="exact"/>
              <w:ind w:left="0" w:right="0" w:firstLine="0"/>
            </w:pPr>
            <w:r>
              <w:rPr>
                <w:rStyle w:val="CharStyle32"/>
              </w:rPr>
              <w:t>Цена за ед.изм.</w:t>
            </w:r>
          </w:p>
        </w:tc>
        <w:tc>
          <w:tcPr>
            <w:shd w:val="clear" w:color="auto" w:fill="FFFFFF"/>
            <w:tcBorders>
              <w:left w:val="single" w:sz="4"/>
              <w:right w:val="single" w:sz="4"/>
              <w:top w:val="single" w:sz="4"/>
            </w:tcBorders>
            <w:vAlign w:val="center"/>
          </w:tcPr>
          <w:p>
            <w:pPr>
              <w:pStyle w:val="Style6"/>
              <w:framePr w:w="10458"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32"/>
              </w:rPr>
              <w:t>Стоимость</w:t>
            </w:r>
          </w:p>
        </w:tc>
      </w:tr>
      <w:tr>
        <w:trPr>
          <w:trHeight w:val="1116" w:hRule="exact"/>
        </w:trPr>
        <w:tc>
          <w:tcPr>
            <w:shd w:val="clear" w:color="auto" w:fill="FFFFFF"/>
            <w:tcBorders>
              <w:lef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both"/>
              <w:spacing w:before="0" w:after="0" w:line="310" w:lineRule="exact"/>
              <w:ind w:left="0" w:right="0" w:firstLine="0"/>
            </w:pPr>
            <w:r>
              <w:rPr>
                <w:rStyle w:val="CharStyle32"/>
              </w:rPr>
              <w:t>Пересылка почтовых отправлений (для 20 комплексов)</w:t>
            </w:r>
          </w:p>
        </w:tc>
        <w:tc>
          <w:tcPr>
            <w:shd w:val="clear" w:color="auto" w:fill="FFFFFF"/>
            <w:tcBorders>
              <w:lef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both"/>
              <w:spacing w:before="0" w:after="0" w:line="260" w:lineRule="exact"/>
              <w:ind w:left="0" w:right="0" w:firstLine="0"/>
            </w:pPr>
            <w:r>
              <w:rPr>
                <w:rStyle w:val="CharStyle32"/>
              </w:rPr>
              <w:t>53.10.12.000</w:t>
            </w:r>
          </w:p>
        </w:tc>
        <w:tc>
          <w:tcPr>
            <w:shd w:val="clear" w:color="auto" w:fill="FFFFFF"/>
            <w:tcBorders>
              <w:lef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right"/>
              <w:spacing w:before="0" w:after="0" w:line="260" w:lineRule="exact"/>
              <w:ind w:left="0" w:right="220" w:firstLine="0"/>
            </w:pPr>
            <w:r>
              <w:rPr>
                <w:rStyle w:val="CharStyle32"/>
              </w:rPr>
              <w:t>ШТ</w:t>
            </w:r>
          </w:p>
        </w:tc>
        <w:tc>
          <w:tcPr>
            <w:shd w:val="clear" w:color="auto" w:fill="FFFFFF"/>
            <w:tcBorders>
              <w:lef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left"/>
              <w:spacing w:before="0" w:after="0" w:line="260" w:lineRule="exact"/>
              <w:ind w:left="100" w:right="0" w:firstLine="0"/>
            </w:pPr>
            <w:r>
              <w:rPr>
                <w:rStyle w:val="CharStyle32"/>
              </w:rPr>
              <w:t>1.00</w:t>
            </w:r>
          </w:p>
        </w:tc>
        <w:tc>
          <w:tcPr>
            <w:shd w:val="clear" w:color="auto" w:fill="FFFFFF"/>
            <w:tcBorders>
              <w:lef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both"/>
              <w:spacing w:before="0" w:after="0" w:line="260" w:lineRule="exact"/>
              <w:ind w:left="0" w:right="0" w:firstLine="0"/>
            </w:pPr>
            <w:r>
              <w:rPr>
                <w:rStyle w:val="CharStyle32"/>
              </w:rPr>
              <w:t>7262000.00</w:t>
            </w:r>
          </w:p>
        </w:tc>
        <w:tc>
          <w:tcPr>
            <w:shd w:val="clear" w:color="auto" w:fill="FFFFFF"/>
            <w:tcBorders>
              <w:left w:val="single" w:sz="4"/>
              <w:right w:val="single" w:sz="4"/>
              <w:top w:val="single" w:sz="4"/>
              <w:bottom w:val="single" w:sz="4"/>
            </w:tcBorders>
            <w:vAlign w:val="center"/>
          </w:tcPr>
          <w:p>
            <w:pPr>
              <w:pStyle w:val="Style6"/>
              <w:framePr w:w="10458"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32"/>
              </w:rPr>
              <w:t>7262000.00</w:t>
            </w:r>
          </w:p>
        </w:tc>
      </w:tr>
    </w:tbl>
    <w:p>
      <w:pPr>
        <w:pStyle w:val="Style30"/>
        <w:framePr w:w="10458"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Итого: 7262000.00</w:t>
      </w:r>
    </w:p>
    <w:p>
      <w:pPr>
        <w:widowControl w:val="0"/>
        <w:rPr>
          <w:sz w:val="2"/>
          <w:szCs w:val="2"/>
        </w:rPr>
      </w:pPr>
    </w:p>
    <w:p>
      <w:pPr>
        <w:pStyle w:val="Style6"/>
        <w:widowControl w:val="0"/>
        <w:keepNext w:val="0"/>
        <w:keepLines w:val="0"/>
        <w:shd w:val="clear" w:color="auto" w:fill="auto"/>
        <w:bidi w:val="0"/>
        <w:jc w:val="both"/>
        <w:spacing w:before="79" w:after="0" w:line="299" w:lineRule="exact"/>
        <w:ind w:left="60" w:right="40" w:firstLine="0"/>
      </w:pPr>
      <w:r>
        <w:rPr>
          <w:lang w:val="ru-RU" w:eastAsia="ru-RU" w:bidi="ru-RU"/>
          <w:w w:val="100"/>
          <w:spacing w:val="0"/>
          <w:color w:val="000000"/>
          <w:position w:val="0"/>
        </w:rPr>
        <w:t>Цена контракта установлена в разделе «Начальная (максимальная) цена контракта» извещения и составляет 7 262 000, 00 рублей.</w:t>
      </w:r>
    </w:p>
    <w:p>
      <w:pPr>
        <w:pStyle w:val="Style6"/>
        <w:widowControl w:val="0"/>
        <w:keepNext w:val="0"/>
        <w:keepLines w:val="0"/>
        <w:shd w:val="clear" w:color="auto" w:fill="auto"/>
        <w:bidi w:val="0"/>
        <w:jc w:val="both"/>
        <w:spacing w:before="0" w:after="0" w:line="306" w:lineRule="exact"/>
        <w:ind w:left="60" w:right="40" w:firstLine="740"/>
      </w:pPr>
      <w:r>
        <w:rPr>
          <w:lang w:val="ru-RU" w:eastAsia="ru-RU" w:bidi="ru-RU"/>
          <w:w w:val="100"/>
          <w:spacing w:val="0"/>
          <w:color w:val="000000"/>
          <w:position w:val="0"/>
        </w:rPr>
        <w:t>Проверив извещение о закупке у единственного поставщика, Комиссия Томского УФАС России не выявила нарушений п.2 ст.42 Закона 44-ФЗ в части отражения в извещении цены за единицу услуги и общей стоимости, совпадающие по сумме.</w:t>
      </w:r>
    </w:p>
    <w:p>
      <w:pPr>
        <w:pStyle w:val="Style6"/>
        <w:widowControl w:val="0"/>
        <w:keepNext w:val="0"/>
        <w:keepLines w:val="0"/>
        <w:shd w:val="clear" w:color="auto" w:fill="auto"/>
        <w:bidi w:val="0"/>
        <w:jc w:val="both"/>
        <w:spacing w:before="0" w:after="0" w:line="306" w:lineRule="exact"/>
        <w:ind w:left="60" w:right="40" w:firstLine="740"/>
      </w:pPr>
      <w:r>
        <w:rPr>
          <w:lang w:val="ru-RU" w:eastAsia="ru-RU" w:bidi="ru-RU"/>
          <w:w w:val="100"/>
          <w:spacing w:val="0"/>
          <w:color w:val="000000"/>
          <w:position w:val="0"/>
        </w:rPr>
        <w:t>В соответствии с ч.1 ст.4 Закона о естественных монополиях к сфере деятельности субъектов естественных монополий относятся услуги общедоступной электросвязи и общедоступной почтовой связи.</w:t>
      </w:r>
    </w:p>
    <w:p>
      <w:pPr>
        <w:pStyle w:val="Style6"/>
        <w:widowControl w:val="0"/>
        <w:keepNext w:val="0"/>
        <w:keepLines w:val="0"/>
        <w:shd w:val="clear" w:color="auto" w:fill="auto"/>
        <w:bidi w:val="0"/>
        <w:jc w:val="both"/>
        <w:spacing w:before="0" w:after="0" w:line="306" w:lineRule="exact"/>
        <w:ind w:left="60" w:right="40" w:firstLine="740"/>
      </w:pPr>
      <w:r>
        <w:rPr>
          <w:lang w:val="ru-RU" w:eastAsia="ru-RU" w:bidi="ru-RU"/>
          <w:w w:val="100"/>
          <w:spacing w:val="0"/>
          <w:color w:val="000000"/>
          <w:position w:val="0"/>
        </w:rPr>
        <w:t>В соответствии с перечнем услуг общедоступной электросвязи и общедоступной почтовой связи, государственное регулирование тарифов, на которые на внутреннем рынке Российской Федерации осуществляет федеральная антимонопольная служба, утвержденным Постановлением Правительства Российской Федерации от 24 октября 2005г. №637, к услугам общедоступной почтовой связи относится:</w:t>
      </w:r>
    </w:p>
    <w:p>
      <w:pPr>
        <w:pStyle w:val="Style6"/>
        <w:numPr>
          <w:ilvl w:val="0"/>
          <w:numId w:val="1"/>
        </w:numPr>
        <w:widowControl w:val="0"/>
        <w:keepNext w:val="0"/>
        <w:keepLines w:val="0"/>
        <w:shd w:val="clear" w:color="auto" w:fill="auto"/>
        <w:bidi w:val="0"/>
        <w:jc w:val="left"/>
        <w:spacing w:before="0" w:after="0" w:line="274" w:lineRule="exact"/>
        <w:ind w:left="60" w:right="40" w:firstLine="580"/>
      </w:pPr>
      <w:r>
        <w:rPr>
          <w:lang w:val="ru-RU" w:eastAsia="ru-RU" w:bidi="ru-RU"/>
          <w:w w:val="100"/>
          <w:spacing w:val="0"/>
          <w:color w:val="000000"/>
          <w:position w:val="0"/>
        </w:rPr>
        <w:t xml:space="preserve"> пересылка внутренней письменной корреспонденции (почтовых карточек, писем, бандеролей);</w:t>
      </w:r>
    </w:p>
    <w:p>
      <w:pPr>
        <w:pStyle w:val="Style6"/>
        <w:numPr>
          <w:ilvl w:val="0"/>
          <w:numId w:val="1"/>
        </w:numPr>
        <w:widowControl w:val="0"/>
        <w:keepNext w:val="0"/>
        <w:keepLines w:val="0"/>
        <w:shd w:val="clear" w:color="auto" w:fill="auto"/>
        <w:bidi w:val="0"/>
        <w:jc w:val="left"/>
        <w:spacing w:before="0" w:after="0" w:line="260" w:lineRule="exact"/>
        <w:ind w:left="60" w:right="0" w:firstLine="580"/>
      </w:pPr>
      <w:r>
        <w:rPr>
          <w:lang w:val="ru-RU" w:eastAsia="ru-RU" w:bidi="ru-RU"/>
          <w:w w:val="100"/>
          <w:spacing w:val="0"/>
          <w:color w:val="000000"/>
          <w:position w:val="0"/>
        </w:rPr>
        <w:t xml:space="preserve"> передача внутренней телеграммы.</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Проставление оттиска государственных знаков почтовой оплаты, наносимого франкировальной машиной, а также почтовые марки, наклеиваемые на письменную корреспонденцию или наносимые типографским способом на почтовые конверты и почтовые карточки, не являются отдельной услугой, а в соответствии с подпунктом «б» п.24 Правил оказания услуг почтовой связи, утвержденных Приказом Министерства связи и массовых коммуникаций Российской Федерации от 31 июля 2014 г. №234 (зарегистрировано в Минюсте России 26 декабря 2014 г. №35442), служат подтверждением оплаты услуг почтовой связи по пересылке простой и заказной письменной корреспонденции, оказываемых организациями федеральной почтовой связи.</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Таким образом, заключение отдельного контракта на оказание услуг по проставлению оттиска клише франкировальной машины на отправляемой корреспонденции не требуется.</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При этом прочие сопутствующие услуги, в том числе связанные с эксплуатацией и обслуживанием франкировальной машины, не относятся к сфере деятельности субъектов естественной монополии.</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Следовательно, осуществление закупок таких услуг необходимо проводить с учетом ограничений, установленных Законом 44-ФЗ.</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Согласно извещению предметом закупки у единственного поставщика является пересылка почтовых отправлений, т.е. услуги почтовой связи.</w:t>
      </w:r>
    </w:p>
    <w:p>
      <w:pPr>
        <w:pStyle w:val="Style6"/>
        <w:tabs>
          <w:tab w:leader="none" w:pos="7559" w:val="left"/>
        </w:tabs>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Пунктом 1.1. контракта (далее по тексту - договора), размещенного в ЕИС и прикрепленного к извещению установлено следующее:</w:t>
        <w:tab/>
        <w:t>«Заказчик поручает, а</w:t>
      </w:r>
    </w:p>
    <w:p>
      <w:pPr>
        <w:pStyle w:val="Style6"/>
        <w:widowControl w:val="0"/>
        <w:keepNext w:val="0"/>
        <w:keepLines w:val="0"/>
        <w:shd w:val="clear" w:color="auto" w:fill="auto"/>
        <w:bidi w:val="0"/>
        <w:jc w:val="both"/>
        <w:spacing w:before="0" w:after="0" w:line="306" w:lineRule="exact"/>
        <w:ind w:left="60" w:right="60" w:firstLine="0"/>
      </w:pPr>
      <w:r>
        <w:rPr>
          <w:lang w:val="ru-RU" w:eastAsia="ru-RU" w:bidi="ru-RU"/>
          <w:w w:val="100"/>
          <w:spacing w:val="0"/>
          <w:color w:val="000000"/>
          <w:position w:val="0"/>
        </w:rPr>
        <w:t>Исполнитель принимает на себя обязательства по пересылке почтовых отправлений (для 20 комплексов), а именно:</w:t>
      </w:r>
    </w:p>
    <w:p>
      <w:pPr>
        <w:pStyle w:val="Style6"/>
        <w:numPr>
          <w:ilvl w:val="0"/>
          <w:numId w:val="1"/>
        </w:numPr>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 xml:space="preserve"> приему, обработке, пересылке и выдаче всех видов внутренних почтовых отправлений;</w:t>
      </w:r>
    </w:p>
    <w:p>
      <w:pPr>
        <w:pStyle w:val="Style6"/>
        <w:numPr>
          <w:ilvl w:val="0"/>
          <w:numId w:val="1"/>
        </w:numPr>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 xml:space="preserve"> дополнительных услуг (хранение и выдача возвращенных почтовых отправлений, подготовка сопроводительной документации (бланков наложенного платежа, бланков адресных ярлыков, бланков сопроводительных адресов и списков ф. 103), наклейка адресного ярлыка, оклейка скотчем, франкирование почтовых отправлений и прочих услуг согласно действующим тарифам, на момент оказания услуги».</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С учетом изложенного, Комиссия Томского УФАС России приходит к выводу о верном избрании заказчиком способа определения поставщика для закупки услуг общедоступной почтовой связи. Вместе с тем, в объект закупки, проводимой заказчиком на основании п.1 ч.1 ст.93 Закона 44-ФЗ включены услуги, которые не относятся к сфере деятельности субъектов естественных монополий, а именно услуги по хранению и выдаче возвращенных почтовых отправлений, подготовке сопроводительной документации (бланков наложенного платежа, бланков адресных ярлыков, бланков сопроводительных адресов и списков ф. 103), наклейка адресного ярлыка, оклейка скотчем, «прочие услуги согласно действующим тарифам, на момент оказания услуги».</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Таким образом, объединив в закупке с единственным поставщиком оказание услуг общедоступной почтовой связи, с услугой, не относящейся к сфере деятельности субъектов естественной монополии - дополнительные услуги, установленные в п. 1.1 проекта договора, заказчик нарушил п.1 ч.1 ст.93 Закона 44-ФЗ.</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Довод заявителя о не включении в состав документов, являющихся приложением к проекту договору тарифов на услуги не нашел подтверждения, в связи с тем, что приложение №7 к договору устанавливает тарифы на услуги по подготовке, обработке и возврату почтовых отправлений.</w:t>
      </w:r>
    </w:p>
    <w:p>
      <w:pPr>
        <w:pStyle w:val="Style6"/>
        <w:widowControl w:val="0"/>
        <w:keepNext w:val="0"/>
        <w:keepLines w:val="0"/>
        <w:shd w:val="clear" w:color="auto" w:fill="auto"/>
        <w:bidi w:val="0"/>
        <w:jc w:val="both"/>
        <w:spacing w:before="0" w:after="0" w:line="306" w:lineRule="exact"/>
        <w:ind w:left="60" w:right="60" w:firstLine="540"/>
      </w:pPr>
      <w:r>
        <w:rPr>
          <w:lang w:val="ru-RU" w:eastAsia="ru-RU" w:bidi="ru-RU"/>
          <w:w w:val="100"/>
          <w:spacing w:val="0"/>
          <w:color w:val="000000"/>
          <w:position w:val="0"/>
        </w:rPr>
        <w:t>На основании изложенного, руководствуясь ст.8, ст.42, ст.93, ст.99, ст. 105 Закона 44-ФЗ, Законом о естественных монополиях, Приказом Министерства связи и массовых</w:t>
        <w:br w:type="page"/>
        <w:t>коммуникаций Российской Федерации от 31 июля 2014 г. №234, Постановлением Правительства Российской Федерации от 24 октября 2005г. №637, Административным регламентом ФАС России, Комиссия Томского УФАС России,</w:t>
      </w:r>
    </w:p>
    <w:p>
      <w:pPr>
        <w:pStyle w:val="Style6"/>
        <w:widowControl w:val="0"/>
        <w:keepNext w:val="0"/>
        <w:keepLines w:val="0"/>
        <w:shd w:val="clear" w:color="auto" w:fill="auto"/>
        <w:bidi w:val="0"/>
        <w:jc w:val="left"/>
        <w:spacing w:before="0" w:after="0" w:line="310" w:lineRule="exact"/>
        <w:ind w:left="4960" w:right="0" w:firstLine="0"/>
      </w:pPr>
      <w:r>
        <w:rPr>
          <w:lang w:val="ru-RU" w:eastAsia="ru-RU" w:bidi="ru-RU"/>
          <w:w w:val="100"/>
          <w:spacing w:val="0"/>
          <w:color w:val="000000"/>
          <w:position w:val="0"/>
        </w:rPr>
        <w:t>РЕШИЛА:</w:t>
      </w:r>
    </w:p>
    <w:p>
      <w:pPr>
        <w:pStyle w:val="Style6"/>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1 .Признать жалобу Закрытого акционерного общества «Национальная почтовая служба» на действия заказчика при проведении закупки у единственного поставщика «Пересылка почтовых отправлений (для 20 комплексов)» (извещение №0365100014617000001) частично обоснованной.</w:t>
      </w:r>
    </w:p>
    <w:p>
      <w:pPr>
        <w:pStyle w:val="Style6"/>
        <w:numPr>
          <w:ilvl w:val="0"/>
          <w:numId w:val="3"/>
        </w:numPr>
        <w:widowControl w:val="0"/>
        <w:keepNext w:val="0"/>
        <w:keepLines w:val="0"/>
        <w:shd w:val="clear" w:color="auto" w:fill="auto"/>
        <w:bidi w:val="0"/>
        <w:jc w:val="both"/>
        <w:spacing w:before="0" w:after="0" w:line="310" w:lineRule="exact"/>
        <w:ind w:left="20" w:right="0" w:firstLine="720"/>
      </w:pPr>
      <w:r>
        <w:rPr>
          <w:lang w:val="ru-RU" w:eastAsia="ru-RU" w:bidi="ru-RU"/>
          <w:w w:val="100"/>
          <w:spacing w:val="0"/>
          <w:color w:val="000000"/>
          <w:position w:val="0"/>
        </w:rPr>
        <w:t>Признать заказчика нарушившим п.1 ч.1 ст.93 Закона 44-ФЗ.</w:t>
      </w:r>
    </w:p>
    <w:p>
      <w:pPr>
        <w:pStyle w:val="Style6"/>
        <w:numPr>
          <w:ilvl w:val="0"/>
          <w:numId w:val="3"/>
        </w:numPr>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 xml:space="preserve">Выдать заказчику обязательное для исполнения предписание об устранении нарушения п.1 ч.1 ст.93 Закона 44-ФЗ путем приведения проекта контракта в соответствие с требованиями Закона 44-ФЗ на стадии его подписания. </w:t>
      </w:r>
      <w:r>
        <w:rPr>
          <w:rStyle w:val="CharStyle33"/>
          <w:vertAlign w:val="subscript"/>
        </w:rPr>
        <w:t>г</w:t>
      </w:r>
    </w:p>
    <w:p>
      <w:pPr>
        <w:pStyle w:val="Style6"/>
        <w:numPr>
          <w:ilvl w:val="0"/>
          <w:numId w:val="3"/>
        </w:numPr>
        <w:widowControl w:val="0"/>
        <w:keepNext w:val="0"/>
        <w:keepLines w:val="0"/>
        <w:shd w:val="clear" w:color="auto" w:fill="auto"/>
        <w:bidi w:val="0"/>
        <w:jc w:val="both"/>
        <w:spacing w:before="0" w:after="0" w:line="310" w:lineRule="exact"/>
        <w:ind w:left="20" w:right="0" w:firstLine="720"/>
        <w:sectPr>
          <w:pgSz w:w="16838" w:h="23810"/>
          <w:pgMar w:top="4240" w:left="2992" w:right="3294" w:bottom="4272" w:header="0" w:footer="3" w:gutter="0"/>
          <w:rtlGutter w:val="0"/>
          <w:cols w:space="720"/>
          <w:noEndnote/>
          <w:docGrid w:linePitch="360"/>
        </w:sectPr>
      </w:pPr>
      <w:r>
        <w:rPr>
          <w:lang w:val="ru-RU" w:eastAsia="ru-RU" w:bidi="ru-RU"/>
          <w:w w:val="100"/>
          <w:spacing w:val="0"/>
          <w:color w:val="000000"/>
          <w:position w:val="0"/>
        </w:rPr>
        <w:t>Передать материалы дела уполномоченному должностному лиыу для решения</w:t>
      </w:r>
    </w:p>
    <w:p>
      <w:pPr>
        <w:sectPr>
          <w:type w:val="continuous"/>
          <w:pgSz w:w="16838" w:h="23810"/>
          <w:pgMar w:top="0" w:left="0" w:right="0" w:bottom="0" w:header="0" w:footer="3" w:gutter="0"/>
          <w:rtlGutter w:val="0"/>
          <w:cols w:space="720"/>
          <w:noEndnote/>
          <w:docGrid w:linePitch="360"/>
        </w:sectPr>
      </w:pPr>
    </w:p>
    <w:p>
      <w:pPr>
        <w:pStyle w:val="Style6"/>
        <w:framePr w:w="4938" w:h="852" w:wrap="around" w:vAnchor="text" w:hAnchor="margin" w:x="5493" w:y="-22"/>
        <w:widowControl w:val="0"/>
        <w:keepNext w:val="0"/>
        <w:keepLines w:val="0"/>
        <w:shd w:val="clear" w:color="auto" w:fill="auto"/>
        <w:bidi w:val="0"/>
        <w:jc w:val="left"/>
        <w:spacing w:before="0" w:line="240" w:lineRule="exact"/>
        <w:ind w:left="60" w:right="0" w:firstLine="0"/>
      </w:pPr>
      <w:r>
        <w:rPr>
          <w:rStyle w:val="CharStyle34"/>
          <w:spacing w:val="0"/>
        </w:rPr>
        <w:t>ответственности виновных в нарушении</w:t>
      </w:r>
    </w:p>
    <w:p>
      <w:pPr>
        <w:pStyle w:val="Style6"/>
        <w:framePr w:w="4938" w:h="852" w:wrap="around" w:vAnchor="text" w:hAnchor="margin" w:x="5493" w:y="-22"/>
        <w:widowControl w:val="0"/>
        <w:keepNext w:val="0"/>
        <w:keepLines w:val="0"/>
        <w:shd w:val="clear" w:color="auto" w:fill="auto"/>
        <w:bidi w:val="0"/>
        <w:jc w:val="left"/>
        <w:spacing w:before="0" w:after="0" w:line="240" w:lineRule="exact"/>
        <w:ind w:left="3100" w:right="0" w:firstLine="0"/>
      </w:pPr>
      <w:r>
        <w:rPr>
          <w:rStyle w:val="CharStyle34"/>
          <w:spacing w:val="0"/>
        </w:rPr>
        <w:t>лиев Р.А.</w:t>
      </w:r>
    </w:p>
    <w:p>
      <w:pPr>
        <w:pStyle w:val="Style6"/>
        <w:widowControl w:val="0"/>
        <w:keepNext w:val="0"/>
        <w:keepLines w:val="0"/>
        <w:shd w:val="clear" w:color="auto" w:fill="auto"/>
        <w:bidi w:val="0"/>
        <w:jc w:val="left"/>
        <w:spacing w:before="0" w:after="0" w:line="306" w:lineRule="exact"/>
        <w:ind w:left="0" w:right="0" w:firstLine="0"/>
        <w:sectPr>
          <w:type w:val="continuous"/>
          <w:pgSz w:w="16838" w:h="23810"/>
          <w:pgMar w:top="4304" w:left="2996" w:right="8090" w:bottom="10802" w:header="0" w:footer="3" w:gutter="0"/>
          <w:rtlGutter w:val="0"/>
          <w:cols w:space="720"/>
          <w:noEndnote/>
          <w:docGrid w:linePitch="360"/>
        </w:sectPr>
      </w:pPr>
      <w:r>
        <w:rPr>
          <w:lang w:val="ru-RU" w:eastAsia="ru-RU" w:bidi="ru-RU"/>
          <w:w w:val="100"/>
          <w:spacing w:val="0"/>
          <w:color w:val="000000"/>
          <w:position w:val="0"/>
        </w:rPr>
        <w:t>вопроса о привлечении к административной требований Закона 44-ФЗ должностных лиц. Председатель комиссии</w:t>
      </w:r>
    </w:p>
    <w:p>
      <w:pPr>
        <w:widowControl w:val="0"/>
        <w:spacing w:before="51" w:after="5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framePr w:h="239" w:wrap="around" w:vAnchor="text" w:hAnchor="margin" w:x="-6846" w:y="-3"/>
        <w:widowControl w:val="0"/>
        <w:keepNext w:val="0"/>
        <w:keepLines w:val="0"/>
        <w:shd w:val="clear" w:color="auto" w:fill="auto"/>
        <w:bidi w:val="0"/>
        <w:jc w:val="left"/>
        <w:spacing w:before="0" w:after="0" w:line="240" w:lineRule="exact"/>
        <w:ind w:left="0" w:right="0" w:firstLine="0"/>
      </w:pPr>
      <w:r>
        <w:rPr>
          <w:rStyle w:val="CharStyle34"/>
          <w:spacing w:val="0"/>
        </w:rPr>
        <w:t>Члены комиссии</w:t>
      </w:r>
    </w:p>
    <w:p>
      <w:pPr>
        <w:pStyle w:val="Style6"/>
        <w:widowControl w:val="0"/>
        <w:keepNext w:val="0"/>
        <w:keepLines w:val="0"/>
        <w:shd w:val="clear" w:color="auto" w:fill="auto"/>
        <w:bidi w:val="0"/>
        <w:jc w:val="both"/>
        <w:spacing w:before="0" w:after="34" w:line="260" w:lineRule="exact"/>
        <w:ind w:left="20" w:right="0" w:firstLine="0"/>
      </w:pPr>
      <w:r>
        <w:rPr>
          <w:lang w:val="ru-RU" w:eastAsia="ru-RU" w:bidi="ru-RU"/>
          <w:w w:val="100"/>
          <w:spacing w:val="0"/>
          <w:color w:val="000000"/>
          <w:position w:val="0"/>
        </w:rPr>
        <w:t>[осев В.Г.</w:t>
      </w:r>
    </w:p>
    <w:p>
      <w:pPr>
        <w:pStyle w:val="Style6"/>
        <w:widowControl w:val="0"/>
        <w:keepNext w:val="0"/>
        <w:keepLines w:val="0"/>
        <w:shd w:val="clear" w:color="auto" w:fill="auto"/>
        <w:bidi w:val="0"/>
        <w:jc w:val="both"/>
        <w:spacing w:before="0" w:after="0" w:line="626" w:lineRule="exact"/>
        <w:ind w:left="20" w:right="740" w:firstLine="0"/>
        <w:sectPr>
          <w:type w:val="continuous"/>
          <w:pgSz w:w="16838" w:h="23810"/>
          <w:pgMar w:top="4304" w:left="10707" w:right="2938" w:bottom="10802" w:header="0" w:footer="3" w:gutter="0"/>
          <w:rtlGutter w:val="0"/>
          <w:cols w:space="720"/>
          <w:noEndnote/>
          <w:docGrid w:linePitch="360"/>
        </w:sectPr>
      </w:pPr>
      <w:r>
        <w:rPr>
          <w:rStyle w:val="CharStyle35"/>
        </w:rPr>
        <w:t>—</w:t>
      </w:r>
      <w:r>
        <w:rPr>
          <w:lang w:val="ru-RU" w:eastAsia="ru-RU" w:bidi="ru-RU"/>
          <w:w w:val="100"/>
          <w:spacing w:val="0"/>
          <w:color w:val="000000"/>
          <w:position w:val="0"/>
        </w:rPr>
        <w:t xml:space="preserve">Некрасова Л.А. </w:t>
      </w:r>
      <w:r>
        <w:rPr>
          <w:lang w:val="en-US" w:eastAsia="en-US" w:bidi="en-US"/>
          <w:w w:val="100"/>
          <w:spacing w:val="0"/>
          <w:color w:val="000000"/>
          <w:position w:val="0"/>
        </w:rPr>
        <w:t xml:space="preserve">liacoHoea </w:t>
      </w:r>
      <w:r>
        <w:rPr>
          <w:lang w:val="ru-RU" w:eastAsia="ru-RU" w:bidi="ru-RU"/>
          <w:w w:val="100"/>
          <w:spacing w:val="0"/>
          <w:color w:val="000000"/>
          <w:position w:val="0"/>
        </w:rPr>
        <w:t xml:space="preserve">В.К. </w:t>
      </w:r>
      <w:r>
        <w:rPr>
          <w:rStyle w:val="CharStyle36"/>
        </w:rPr>
        <w:t>i-,ft</w:t>
      </w:r>
      <w:r>
        <w:rPr>
          <w:rStyle w:val="CharStyle37"/>
        </w:rPr>
        <w:t xml:space="preserve"> </w:t>
      </w:r>
      <w:r>
        <w:rPr>
          <w:lang w:val="ru-RU" w:eastAsia="ru-RU" w:bidi="ru-RU"/>
          <w:w w:val="100"/>
          <w:spacing w:val="0"/>
          <w:color w:val="000000"/>
          <w:position w:val="0"/>
        </w:rPr>
        <w:t>/^Длашпулатова Г.М.</w:t>
      </w:r>
    </w:p>
    <w:p>
      <w:pPr>
        <w:widowControl w:val="0"/>
        <w:spacing w:line="237"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both"/>
        <w:spacing w:before="0" w:after="0" w:line="245" w:lineRule="exact"/>
        <w:ind w:left="0" w:right="0" w:firstLine="540"/>
        <w:sectPr>
          <w:type w:val="continuous"/>
          <w:pgSz w:w="16838" w:h="23810"/>
          <w:pgMar w:top="4304" w:left="3017" w:right="3388" w:bottom="10802" w:header="0" w:footer="3" w:gutter="0"/>
          <w:rtlGutter w:val="0"/>
          <w:cols w:space="720"/>
          <w:noEndnote/>
          <w:docGrid w:linePitch="360"/>
        </w:sectPr>
      </w:pPr>
      <w:r>
        <w:rPr>
          <w:lang w:val="ru-RU" w:eastAsia="ru-RU" w:bidi="ru-RU"/>
          <w:w w:val="100"/>
          <w:spacing w:val="0"/>
          <w:color w:val="000000"/>
          <w:position w:val="0"/>
        </w:rPr>
        <w:t>В соответствии с ч.9 ст. 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center"/>
        <w:spacing w:before="69" w:after="31" w:line="252" w:lineRule="exact"/>
        <w:ind w:left="0" w:right="0" w:firstLine="0"/>
      </w:pPr>
      <w:r>
        <w:rPr>
          <w:rStyle w:val="CharStyle10"/>
          <w:b/>
          <w:bCs/>
        </w:rPr>
        <w:t>ФЕДЕРАЛЬНАЯ АНТИМОНОПОЛЬНАЯ СЛУЖБА</w:t>
      </w:r>
    </w:p>
    <w:p>
      <w:pPr>
        <w:pStyle w:val="Style11"/>
        <w:widowControl w:val="0"/>
        <w:keepNext w:val="0"/>
        <w:keepLines w:val="0"/>
        <w:shd w:val="clear" w:color="auto" w:fill="auto"/>
        <w:bidi w:val="0"/>
        <w:spacing w:before="0" w:after="118" w:line="288" w:lineRule="exact"/>
        <w:ind w:left="0" w:right="0" w:firstLine="0"/>
      </w:pPr>
      <w:r>
        <w:rPr>
          <w:rStyle w:val="CharStyle13"/>
          <w:b/>
          <w:bCs/>
        </w:rPr>
        <w:t>УПРАВЛЕНИЕ Федеральной антимонопольной службы по Томской области</w:t>
      </w:r>
    </w:p>
    <w:p>
      <w:pPr>
        <w:pStyle w:val="Style8"/>
        <w:widowControl w:val="0"/>
        <w:keepNext w:val="0"/>
        <w:keepLines w:val="0"/>
        <w:shd w:val="clear" w:color="auto" w:fill="auto"/>
        <w:bidi w:val="0"/>
        <w:jc w:val="left"/>
        <w:spacing w:before="0" w:after="25" w:line="216" w:lineRule="exact"/>
        <w:ind w:left="1040" w:right="1120" w:firstLine="0"/>
      </w:pPr>
      <w:r>
        <w:rPr>
          <w:rStyle w:val="CharStyle14"/>
        </w:rPr>
        <w:t xml:space="preserve">пр. Ленина. 111. г. Томск. 634069 тел./факс (3822) 51-29-80 </w:t>
      </w:r>
      <w:r>
        <w:rPr>
          <w:rStyle w:val="CharStyle14"/>
          <w:lang w:val="en-US" w:eastAsia="en-US" w:bidi="en-US"/>
        </w:rPr>
        <w:t>e-mail :</w:t>
      </w:r>
      <w:r>
        <w:fldChar w:fldCharType="begin"/>
      </w:r>
      <w:r>
        <w:rPr>
          <w:rStyle w:val="CharStyle15"/>
        </w:rPr>
        <w:instrText> HYPERLINK "mailto:to70@fas.gov.ru" </w:instrText>
      </w:r>
      <w:r>
        <w:fldChar w:fldCharType="separate"/>
      </w:r>
      <w:r>
        <w:rPr>
          <w:rStyle w:val="Hyperlink"/>
        </w:rPr>
        <w:t>to70@fas.gov.ru</w:t>
      </w:r>
      <w:r>
        <w:fldChar w:fldCharType="end"/>
      </w:r>
    </w:p>
    <w:p>
      <w:pPr>
        <w:pStyle w:val="Style38"/>
        <w:tabs>
          <w:tab w:leader="none" w:pos="2599" w:val="right"/>
          <w:tab w:leader="none" w:pos="2760" w:val="left"/>
        </w:tabs>
        <w:widowControl w:val="0"/>
        <w:keepNext w:val="0"/>
        <w:keepLines w:val="0"/>
        <w:shd w:val="clear" w:color="auto" w:fill="auto"/>
        <w:bidi w:val="0"/>
        <w:spacing w:before="0" w:after="0" w:line="260" w:lineRule="exact"/>
        <w:ind w:left="540" w:right="0" w:firstLine="0"/>
      </w:pPr>
      <w:r>
        <w:rPr>
          <w:rStyle w:val="CharStyle40"/>
          <w:i w:val="0"/>
          <w:iCs w:val="0"/>
        </w:rPr>
        <w:t>/</w:t>
      </w:r>
      <w:r>
        <w:rPr>
          <w:rStyle w:val="CharStyle41"/>
          <w:i w:val="0"/>
          <w:iCs w:val="0"/>
        </w:rPr>
        <w:t>Г</w:t>
        <w:tab/>
      </w:r>
      <w:r>
        <w:rPr>
          <w:rStyle w:val="CharStyle42"/>
          <w:i/>
          <w:iCs/>
        </w:rPr>
        <w:t>09JX</w:t>
      </w:r>
      <w:r>
        <w:rPr>
          <w:rStyle w:val="CharStyle43"/>
          <w:i/>
          <w:iCs/>
        </w:rPr>
        <w:t>VI</w:t>
      </w:r>
      <w:r>
        <w:rPr>
          <w:rStyle w:val="CharStyle44"/>
          <w:i w:val="0"/>
          <w:iCs w:val="0"/>
        </w:rPr>
        <w:t>.\°</w:t>
        <w:tab/>
      </w:r>
      <w:r>
        <w:rPr>
          <w:rStyle w:val="CharStyle45"/>
          <w:i/>
          <w:iCs/>
        </w:rPr>
        <w:t>/ьуЯ</w:t>
      </w:r>
    </w:p>
    <w:p>
      <w:pPr>
        <w:pStyle w:val="Style46"/>
        <w:widowControl w:val="0"/>
        <w:keepNext w:val="0"/>
        <w:keepLines w:val="0"/>
        <w:shd w:val="clear" w:color="auto" w:fill="auto"/>
        <w:bidi w:val="0"/>
        <w:spacing w:before="0" w:after="492" w:line="200" w:lineRule="exact"/>
        <w:ind w:left="0" w:right="0" w:firstLine="0"/>
      </w:pPr>
      <w:r>
        <w:rPr>
          <w:lang w:val="ru-RU" w:eastAsia="ru-RU" w:bidi="ru-RU"/>
          <w:w w:val="100"/>
          <w:spacing w:val="0"/>
          <w:color w:val="000000"/>
          <w:position w:val="0"/>
        </w:rPr>
        <w:t>с уведомлением</w:t>
      </w:r>
    </w:p>
    <w:p>
      <w:pPr>
        <w:pStyle w:val="Style3"/>
        <w:widowControl w:val="0"/>
        <w:keepNext w:val="0"/>
        <w:keepLines w:val="0"/>
        <w:shd w:val="clear" w:color="auto" w:fill="auto"/>
        <w:bidi w:val="0"/>
        <w:jc w:val="both"/>
        <w:spacing w:before="0" w:after="52" w:line="190" w:lineRule="exact"/>
        <w:ind w:left="20" w:right="0" w:firstLine="0"/>
      </w:pPr>
      <w:r>
        <w:rPr>
          <w:rStyle w:val="CharStyle5"/>
          <w:b/>
          <w:bCs/>
        </w:rPr>
        <w:t>Заказчику:</w:t>
      </w:r>
    </w:p>
    <w:p>
      <w:pPr>
        <w:pStyle w:val="Style6"/>
        <w:widowControl w:val="0"/>
        <w:keepNext w:val="0"/>
        <w:keepLines w:val="0"/>
        <w:shd w:val="clear" w:color="auto" w:fill="auto"/>
        <w:bidi w:val="0"/>
        <w:jc w:val="both"/>
        <w:spacing w:before="0" w:after="0" w:line="320" w:lineRule="exact"/>
        <w:ind w:left="20" w:right="740" w:firstLine="0"/>
      </w:pPr>
      <w:r>
        <w:rPr>
          <w:lang w:val="ru-RU" w:eastAsia="ru-RU" w:bidi="ru-RU"/>
          <w:w w:val="100"/>
          <w:spacing w:val="0"/>
          <w:color w:val="000000"/>
          <w:position w:val="0"/>
        </w:rPr>
        <w:t>ОГКУ «Специализированное монтажно</w:t>
        <w:softHyphen/>
        <w:t>эксплуатационное учреждение Томской области»</w:t>
      </w:r>
    </w:p>
    <w:p>
      <w:pPr>
        <w:pStyle w:val="Style8"/>
        <w:widowControl w:val="0"/>
        <w:keepNext w:val="0"/>
        <w:keepLines w:val="0"/>
        <w:shd w:val="clear" w:color="auto" w:fill="auto"/>
        <w:bidi w:val="0"/>
        <w:spacing w:before="0" w:after="0" w:line="230" w:lineRule="exact"/>
        <w:ind w:left="1920" w:right="220" w:firstLine="0"/>
        <w:sectPr>
          <w:pgSz w:w="16838" w:h="23810"/>
          <w:pgMar w:top="4257" w:left="3164" w:right="3164" w:bottom="3256" w:header="0" w:footer="3" w:gutter="0"/>
          <w:rtlGutter w:val="0"/>
          <w:cols w:num="2" w:space="720" w:equalWidth="0">
            <w:col w:w="4774" w:space="367"/>
            <w:col w:w="5368"/>
          </w:cols>
          <w:noEndnote/>
          <w:docGrid w:linePitch="360"/>
        </w:sectPr>
      </w:pPr>
      <w:r>
        <w:rPr>
          <w:lang w:val="ru-RU" w:eastAsia="ru-RU" w:bidi="ru-RU"/>
          <w:w w:val="100"/>
          <w:spacing w:val="0"/>
          <w:color w:val="000000"/>
          <w:position w:val="0"/>
        </w:rPr>
        <w:t xml:space="preserve">634062, г. Томск, Иркутский тр-т, 79/1 </w:t>
      </w:r>
      <w:r>
        <w:fldChar w:fldCharType="begin"/>
      </w:r>
      <w:r>
        <w:rPr>
          <w:color w:val="000000"/>
        </w:rPr>
        <w:instrText> HYPERLINK "mailto:Smeu2013.tornsk@mail.ru" </w:instrText>
      </w:r>
      <w:r>
        <w:fldChar w:fldCharType="separate"/>
      </w:r>
      <w:r>
        <w:rPr>
          <w:rStyle w:val="Hyperlink"/>
          <w:lang w:val="en-US" w:eastAsia="en-US" w:bidi="en-US"/>
          <w:w w:val="100"/>
          <w:spacing w:val="0"/>
          <w:position w:val="0"/>
        </w:rPr>
        <w:t>Smeu2013.tornsk@mail.ru</w:t>
      </w:r>
      <w:r>
        <w:fldChar w:fldCharType="end"/>
      </w:r>
    </w:p>
    <w:p>
      <w:pPr>
        <w:widowControl w:val="0"/>
        <w:spacing w:before="88" w:after="8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48"/>
        <w:tabs>
          <w:tab w:leader="none" w:pos="2238" w:val="right"/>
        </w:tabs>
        <w:widowControl w:val="0"/>
        <w:keepNext w:val="0"/>
        <w:keepLines w:val="0"/>
        <w:shd w:val="clear" w:color="auto" w:fill="auto"/>
        <w:bidi w:val="0"/>
        <w:spacing w:before="0" w:after="1455" w:line="200" w:lineRule="exact"/>
        <w:ind w:left="60" w:right="0" w:firstLine="0"/>
      </w:pPr>
      <w:r>
        <w:rPr>
          <w:rStyle w:val="CharStyle50"/>
        </w:rPr>
        <w:t xml:space="preserve">На </w:t>
      </w:r>
      <w:r>
        <w:rPr>
          <w:rStyle w:val="CharStyle51"/>
        </w:rPr>
        <w:t>Х°</w:t>
      </w:r>
      <w:r>
        <w:rPr>
          <w:rStyle w:val="CharStyle50"/>
        </w:rPr>
        <w:tab/>
        <w:t>от</w:t>
      </w:r>
    </w:p>
    <w:p>
      <w:pPr>
        <w:pStyle w:val="Style6"/>
        <w:tabs>
          <w:tab w:leader="none" w:pos="9251" w:val="right"/>
          <w:tab w:leader="none" w:pos="10050" w:val="right"/>
        </w:tabs>
        <w:widowControl w:val="0"/>
        <w:keepNext w:val="0"/>
        <w:keepLines w:val="0"/>
        <w:shd w:val="clear" w:color="auto" w:fill="auto"/>
        <w:bidi w:val="0"/>
        <w:jc w:val="left"/>
        <w:spacing w:before="0" w:after="0" w:line="306" w:lineRule="exact"/>
        <w:ind w:left="60" w:right="20" w:firstLine="3960"/>
      </w:pPr>
      <w:r>
        <w:rPr>
          <w:lang w:val="ru-RU" w:eastAsia="ru-RU" w:bidi="ru-RU"/>
          <w:w w:val="100"/>
          <w:spacing w:val="0"/>
          <w:color w:val="000000"/>
          <w:position w:val="0"/>
        </w:rPr>
        <w:t>ПРЕДПИСАНИЕ об устранении нарушений в сфере закупок по делу №03-10/173-17 12.09.2017</w:t>
        <w:tab/>
        <w:t>г.</w:t>
        <w:tab/>
        <w:t>Томск</w:t>
      </w:r>
    </w:p>
    <w:p>
      <w:pPr>
        <w:pStyle w:val="Style6"/>
        <w:widowControl w:val="0"/>
        <w:keepNext w:val="0"/>
        <w:keepLines w:val="0"/>
        <w:shd w:val="clear" w:color="auto" w:fill="auto"/>
        <w:bidi w:val="0"/>
        <w:jc w:val="both"/>
        <w:spacing w:before="0" w:after="0" w:line="306" w:lineRule="exact"/>
        <w:ind w:left="60" w:right="20" w:firstLine="70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w:t>
      </w:r>
    </w:p>
    <w:p>
      <w:pPr>
        <w:pStyle w:val="Style6"/>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председателя комиссии:</w:t>
      </w:r>
    </w:p>
    <w:p>
      <w:pPr>
        <w:pStyle w:val="Style6"/>
        <w:tabs>
          <w:tab w:leader="none" w:pos="2525" w:val="left"/>
        </w:tabs>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Алиева Р.А.,</w:t>
        <w:tab/>
        <w:t>заместителя руководителя - начальника отдела контроля</w:t>
      </w:r>
    </w:p>
    <w:p>
      <w:pPr>
        <w:pStyle w:val="Style6"/>
        <w:widowControl w:val="0"/>
        <w:keepNext w:val="0"/>
        <w:keepLines w:val="0"/>
        <w:shd w:val="clear" w:color="auto" w:fill="auto"/>
        <w:bidi w:val="0"/>
        <w:jc w:val="left"/>
        <w:spacing w:before="0" w:after="0" w:line="306" w:lineRule="exact"/>
        <w:ind w:left="2600" w:right="0" w:firstLine="0"/>
      </w:pPr>
      <w:r>
        <w:rPr>
          <w:lang w:val="ru-RU" w:eastAsia="ru-RU" w:bidi="ru-RU"/>
          <w:w w:val="100"/>
          <w:spacing w:val="0"/>
          <w:color w:val="000000"/>
          <w:position w:val="0"/>
        </w:rPr>
        <w:t>закупок;</w:t>
      </w:r>
    </w:p>
    <w:p>
      <w:pPr>
        <w:pStyle w:val="Style6"/>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членов комиссии:</w:t>
      </w:r>
    </w:p>
    <w:p>
      <w:pPr>
        <w:pStyle w:val="Style6"/>
        <w:tabs>
          <w:tab w:leader="none" w:pos="2525" w:val="left"/>
        </w:tabs>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6"/>
        <w:tabs>
          <w:tab w:leader="none" w:pos="2525" w:val="left"/>
        </w:tabs>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Некрасовой Л.А.,</w:t>
        <w:tab/>
        <w:t>ведущего специалиста-эксперта отдела контроля закупок;</w:t>
      </w:r>
    </w:p>
    <w:p>
      <w:pPr>
        <w:pStyle w:val="Style6"/>
        <w:tabs>
          <w:tab w:leader="none" w:pos="2525" w:val="left"/>
        </w:tabs>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Насоновой В.К.,</w:t>
        <w:tab/>
        <w:t>специалиста-эксперта отдела контроля закупок;</w:t>
      </w:r>
    </w:p>
    <w:p>
      <w:pPr>
        <w:pStyle w:val="Style6"/>
        <w:widowControl w:val="0"/>
        <w:keepNext w:val="0"/>
        <w:keepLines w:val="0"/>
        <w:shd w:val="clear" w:color="auto" w:fill="auto"/>
        <w:bidi w:val="0"/>
        <w:jc w:val="both"/>
        <w:spacing w:before="0" w:after="0" w:line="306" w:lineRule="exact"/>
        <w:ind w:left="60" w:right="0" w:firstLine="0"/>
      </w:pPr>
      <w:r>
        <w:rPr>
          <w:lang w:val="ru-RU" w:eastAsia="ru-RU" w:bidi="ru-RU"/>
          <w:w w:val="100"/>
          <w:spacing w:val="0"/>
          <w:color w:val="000000"/>
          <w:position w:val="0"/>
        </w:rPr>
        <w:t>Ташпулатовой Г.М., специалиста-эксперта отдела контроля рекламы,</w:t>
      </w:r>
    </w:p>
    <w:p>
      <w:pPr>
        <w:pStyle w:val="Style6"/>
        <w:widowControl w:val="0"/>
        <w:keepNext w:val="0"/>
        <w:keepLines w:val="0"/>
        <w:shd w:val="clear" w:color="auto" w:fill="auto"/>
        <w:bidi w:val="0"/>
        <w:jc w:val="both"/>
        <w:spacing w:before="0" w:after="0" w:line="306" w:lineRule="exact"/>
        <w:ind w:left="60" w:right="20" w:firstLine="2540"/>
      </w:pPr>
      <w:r>
        <w:rPr>
          <w:lang w:val="ru-RU" w:eastAsia="ru-RU" w:bidi="ru-RU"/>
          <w:w w:val="100"/>
          <w:spacing w:val="0"/>
          <w:color w:val="000000"/>
          <w:position w:val="0"/>
        </w:rPr>
        <w:t>недобросовестной конкуренции и адвокатирования, на основании решения от 12.09.2017, принятого по делу №03-10/173-17, возбужденному по жалобе ЗАО «НПС» на действия заказчика при проведении закупки у единственного поставщика «Пересылка почтовых отправлений (для 20 комплексов)» (извещение №0365100014617000001), и, руководствуясь п.2 ч.22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w:t>
      </w:r>
    </w:p>
    <w:p>
      <w:pPr>
        <w:pStyle w:val="Style6"/>
        <w:widowControl w:val="0"/>
        <w:keepNext w:val="0"/>
        <w:keepLines w:val="0"/>
        <w:shd w:val="clear" w:color="auto" w:fill="auto"/>
        <w:bidi w:val="0"/>
        <w:jc w:val="center"/>
        <w:spacing w:before="0" w:after="0" w:line="306" w:lineRule="exact"/>
        <w:ind w:left="0" w:right="20" w:firstLine="0"/>
      </w:pPr>
      <w:r>
        <w:rPr>
          <w:lang w:val="ru-RU" w:eastAsia="ru-RU" w:bidi="ru-RU"/>
          <w:w w:val="100"/>
          <w:spacing w:val="0"/>
          <w:color w:val="000000"/>
          <w:position w:val="0"/>
        </w:rPr>
        <w:t>ПРЕДПИСЫВАЕТ:</w:t>
      </w:r>
    </w:p>
    <w:p>
      <w:pPr>
        <w:pStyle w:val="Style6"/>
        <w:widowControl w:val="0"/>
        <w:keepNext w:val="0"/>
        <w:keepLines w:val="0"/>
        <w:shd w:val="clear" w:color="auto" w:fill="auto"/>
        <w:bidi w:val="0"/>
        <w:jc w:val="both"/>
        <w:spacing w:before="0" w:after="241" w:line="306" w:lineRule="exact"/>
        <w:ind w:left="60" w:right="20" w:firstLine="700"/>
      </w:pPr>
      <w:r>
        <w:rPr>
          <w:lang w:val="ru-RU" w:eastAsia="ru-RU" w:bidi="ru-RU"/>
          <w:w w:val="100"/>
          <w:spacing w:val="0"/>
          <w:color w:val="000000"/>
          <w:position w:val="0"/>
        </w:rPr>
        <w:t>Заказчику, допустившему нарушение п.1 ч.1 ст.93 Закона 44-ФЗ при проведении закупки у единственного поставщика «Пересылка почтовых отправлений (для 20 комплексов)» (извещение №0365100014617000001), выразившееся в неправомерном объединении в закупке у единственного поставщика оказания услуг общедоступной почтовой связи, с услугами, не относящимися к сфере деятельности субъектов</w:t>
      </w:r>
    </w:p>
    <w:p>
      <w:pPr>
        <w:pStyle w:val="Style52"/>
        <w:widowControl w:val="0"/>
        <w:keepNext/>
        <w:keepLines/>
        <w:shd w:val="clear" w:color="auto" w:fill="auto"/>
        <w:bidi w:val="0"/>
        <w:spacing w:before="0" w:after="0" w:line="380" w:lineRule="exact"/>
        <w:ind w:left="0" w:right="480" w:firstLine="0"/>
        <w:sectPr>
          <w:type w:val="continuous"/>
          <w:pgSz w:w="16838" w:h="23810"/>
          <w:pgMar w:top="4257" w:left="3531" w:right="3218" w:bottom="3256" w:header="0" w:footer="3" w:gutter="0"/>
          <w:rtlGutter w:val="0"/>
          <w:cols w:space="720"/>
          <w:noEndnote/>
          <w:docGrid w:linePitch="360"/>
        </w:sectPr>
      </w:pPr>
      <w:bookmarkStart w:id="2" w:name="bookmark2"/>
      <w:r>
        <w:rPr>
          <w:lang w:val="ru-RU" w:eastAsia="ru-RU" w:bidi="ru-RU"/>
          <w:w w:val="100"/>
          <w:color w:val="000000"/>
          <w:position w:val="0"/>
        </w:rPr>
        <w:t>008063</w:t>
      </w:r>
      <w:bookmarkEnd w:id="2"/>
    </w:p>
    <w:p>
      <w:pPr>
        <w:pStyle w:val="Style6"/>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естественной монополии - дополнительные услуги, установленные в п. 1.1 проекта договора, прекратить нарушение Законодательства о контрактной системе для чего на стадии заключения контракта при направлении его для подписания единственному поставщику - ФГУП «Почта России» привести контракт в соответствие с требованиями п.1 ч.1 ст.93 Закона 44-ФЗ.</w:t>
      </w:r>
    </w:p>
    <w:p>
      <w:pPr>
        <w:pStyle w:val="Style6"/>
        <w:widowControl w:val="0"/>
        <w:keepNext w:val="0"/>
        <w:keepLines w:val="0"/>
        <w:shd w:val="clear" w:color="auto" w:fill="auto"/>
        <w:bidi w:val="0"/>
        <w:jc w:val="both"/>
        <w:spacing w:before="0" w:after="340" w:line="310" w:lineRule="exact"/>
        <w:ind w:left="20" w:right="0" w:firstLine="640"/>
      </w:pPr>
      <w:r>
        <w:rPr>
          <w:lang w:val="ru-RU" w:eastAsia="ru-RU" w:bidi="ru-RU"/>
          <w:w w:val="100"/>
          <w:spacing w:val="0"/>
          <w:color w:val="000000"/>
          <w:position w:val="0"/>
        </w:rPr>
        <w:t>В течение трех рабочих дней, со дня исполнения настоящего предписания, направить в Томское УФАС России информацию и копии документов, подтверждающие исполнение настоящего предписания.</w:t>
      </w:r>
    </w:p>
    <w:p>
      <w:pPr>
        <w:pStyle w:val="Style6"/>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 комиссии</w:t>
      </w:r>
    </w:p>
    <w:p>
      <w:pPr>
        <w:pStyle w:val="Style6"/>
        <w:framePr w:h="670" w:wrap="notBeside" w:vAnchor="text" w:hAnchor="margin" w:x="5385" w:y="1229"/>
        <w:widowControl w:val="0"/>
        <w:keepNext w:val="0"/>
        <w:keepLines w:val="0"/>
        <w:shd w:val="clear" w:color="auto" w:fill="auto"/>
        <w:bidi w:val="0"/>
        <w:jc w:val="left"/>
        <w:spacing w:before="0" w:after="0" w:line="380" w:lineRule="exact"/>
        <w:ind w:left="100" w:right="0" w:firstLine="0"/>
      </w:pPr>
      <w:r>
        <w:rPr>
          <w:rStyle w:val="CharStyle54"/>
          <w:spacing w:val="-20"/>
        </w:rPr>
        <w:t>J J</w:t>
      </w:r>
      <w:r>
        <w:rPr>
          <w:rStyle w:val="CharStyle55"/>
          <w:spacing w:val="0"/>
        </w:rPr>
        <w:t xml:space="preserve"> </w:t>
      </w:r>
      <w:r>
        <w:rPr>
          <w:rStyle w:val="CharStyle34"/>
          <w:spacing w:val="0"/>
        </w:rPr>
        <w:t>Д/^Ташпулатова</w:t>
      </w:r>
    </w:p>
    <w:p>
      <w:pPr>
        <w:pStyle w:val="Style6"/>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pgSz w:w="16838" w:h="23810"/>
      <w:pgMar w:top="5272" w:left="3389" w:right="3403" w:bottom="147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4"/>
    <w:rPr>
      <w:lang w:val="ru-RU" w:eastAsia="ru-RU" w:bidi="ru-RU"/>
      <w:w w:val="100"/>
      <w:spacing w:val="0"/>
      <w:color w:val="000000"/>
      <w:position w:val="0"/>
    </w:rPr>
  </w:style>
  <w:style w:type="character" w:customStyle="1" w:styleId="CharStyle12">
    <w:name w:val="Основной текст (4)_"/>
    <w:basedOn w:val="DefaultParagraphFont"/>
    <w:link w:val="Style11"/>
    <w:rPr>
      <w:b/>
      <w:bCs/>
      <w:i w:val="0"/>
      <w:iCs w:val="0"/>
      <w:u w:val="none"/>
      <w:strike w:val="0"/>
      <w:smallCaps w:val="0"/>
      <w:rFonts w:ascii="Times New Roman" w:eastAsia="Times New Roman" w:hAnsi="Times New Roman" w:cs="Times New Roman"/>
    </w:rPr>
  </w:style>
  <w:style w:type="character" w:customStyle="1" w:styleId="CharStyle13">
    <w:name w:val="Основной текст (4)"/>
    <w:basedOn w:val="CharStyle12"/>
    <w:rPr>
      <w:lang w:val="ru-RU" w:eastAsia="ru-RU" w:bidi="ru-RU"/>
      <w:sz w:val="24"/>
      <w:szCs w:val="24"/>
      <w:w w:val="100"/>
      <w:spacing w:val="0"/>
      <w:color w:val="000000"/>
      <w:position w:val="0"/>
    </w:rPr>
  </w:style>
  <w:style w:type="character" w:customStyle="1" w:styleId="CharStyle14">
    <w:name w:val="Основной текст (3)"/>
    <w:basedOn w:val="CharStyle9"/>
    <w:rPr>
      <w:lang w:val="ru-RU" w:eastAsia="ru-RU" w:bidi="ru-RU"/>
      <w:w w:val="100"/>
      <w:spacing w:val="0"/>
      <w:color w:val="000000"/>
      <w:position w:val="0"/>
    </w:rPr>
  </w:style>
  <w:style w:type="character" w:customStyle="1" w:styleId="CharStyle15">
    <w:name w:val="Основной текст (3)"/>
    <w:basedOn w:val="CharStyle9"/>
    <w:rPr>
      <w:lang w:val="en-US" w:eastAsia="en-US" w:bidi="en-US"/>
      <w:u w:val="single"/>
      <w:w w:val="100"/>
      <w:spacing w:val="0"/>
      <w:color w:val="000000"/>
      <w:position w:val="0"/>
    </w:rPr>
  </w:style>
  <w:style w:type="character" w:customStyle="1" w:styleId="CharStyle17">
    <w:name w:val="Заголовок №3_"/>
    <w:basedOn w:val="DefaultParagraphFont"/>
    <w:link w:val="Style16"/>
    <w:rPr>
      <w:lang w:val="en-US" w:eastAsia="en-US" w:bidi="en-US"/>
      <w:b w:val="0"/>
      <w:bCs w:val="0"/>
      <w:i/>
      <w:iCs/>
      <w:u w:val="none"/>
      <w:strike w:val="0"/>
      <w:smallCaps w:val="0"/>
      <w:sz w:val="42"/>
      <w:szCs w:val="42"/>
      <w:rFonts w:ascii="Times New Roman" w:eastAsia="Times New Roman" w:hAnsi="Times New Roman" w:cs="Times New Roman"/>
      <w:spacing w:val="-20"/>
    </w:rPr>
  </w:style>
  <w:style w:type="character" w:customStyle="1" w:styleId="CharStyle18">
    <w:name w:val="Заголовок №3 + 13 pt,Не курсив,Интервал -2 pt"/>
    <w:basedOn w:val="CharStyle17"/>
    <w:rPr>
      <w:lang w:val="ru-RU" w:eastAsia="ru-RU" w:bidi="ru-RU"/>
      <w:i/>
      <w:iCs/>
      <w:sz w:val="26"/>
      <w:szCs w:val="26"/>
      <w:w w:val="100"/>
      <w:spacing w:val="-40"/>
      <w:color w:val="000000"/>
      <w:position w:val="0"/>
    </w:rPr>
  </w:style>
  <w:style w:type="character" w:customStyle="1" w:styleId="CharStyle19">
    <w:name w:val="Заголовок №3"/>
    <w:basedOn w:val="CharStyle17"/>
    <w:rPr>
      <w:w w:val="100"/>
      <w:color w:val="000000"/>
      <w:position w:val="0"/>
    </w:rPr>
  </w:style>
  <w:style w:type="character" w:customStyle="1" w:styleId="CharStyle20">
    <w:name w:val="Заголовок №3 + 13 pt,Не курсив,Интервал -2 pt"/>
    <w:basedOn w:val="CharStyle17"/>
    <w:rPr>
      <w:i/>
      <w:iCs/>
      <w:sz w:val="26"/>
      <w:szCs w:val="26"/>
      <w:w w:val="100"/>
      <w:spacing w:val="-40"/>
      <w:color w:val="000000"/>
      <w:position w:val="0"/>
    </w:rPr>
  </w:style>
  <w:style w:type="character" w:customStyle="1" w:styleId="CharStyle22">
    <w:name w:val="Основной текст (5)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23">
    <w:name w:val="Основной текст (5) Exact"/>
    <w:basedOn w:val="CharStyle24"/>
    <w:rPr>
      <w:sz w:val="18"/>
      <w:szCs w:val="18"/>
      <w:spacing w:val="-4"/>
    </w:rPr>
  </w:style>
  <w:style w:type="character" w:customStyle="1" w:styleId="CharStyle24">
    <w:name w:val="Основной текст (5)_"/>
    <w:basedOn w:val="DefaultParagraphFont"/>
    <w:link w:val="Style21"/>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6">
    <w:name w:val="Основной текст + Интервал 3 pt"/>
    <w:basedOn w:val="CharStyle7"/>
    <w:rPr>
      <w:lang w:val="ru-RU" w:eastAsia="ru-RU" w:bidi="ru-RU"/>
      <w:w w:val="100"/>
      <w:spacing w:val="70"/>
      <w:color w:val="000000"/>
      <w:position w:val="0"/>
    </w:rPr>
  </w:style>
  <w:style w:type="character" w:customStyle="1" w:styleId="CharStyle28">
    <w:name w:val="Заголовок №2_"/>
    <w:basedOn w:val="DefaultParagraphFont"/>
    <w:link w:val="Style27"/>
    <w:rPr>
      <w:b w:val="0"/>
      <w:bCs w:val="0"/>
      <w:i w:val="0"/>
      <w:iCs w:val="0"/>
      <w:u w:val="none"/>
      <w:strike w:val="0"/>
      <w:smallCaps w:val="0"/>
      <w:rFonts w:ascii="Times New Roman" w:eastAsia="Times New Roman" w:hAnsi="Times New Roman" w:cs="Times New Roman"/>
      <w:spacing w:val="30"/>
    </w:rPr>
  </w:style>
  <w:style w:type="character" w:customStyle="1" w:styleId="CharStyle29">
    <w:name w:val="Заголовок №2 + Полужирный,Интервал 0 pt"/>
    <w:basedOn w:val="CharStyle28"/>
    <w:rPr>
      <w:lang w:val="ru-RU" w:eastAsia="ru-RU" w:bidi="ru-RU"/>
      <w:b/>
      <w:bCs/>
      <w:sz w:val="24"/>
      <w:szCs w:val="24"/>
      <w:w w:val="100"/>
      <w:spacing w:val="0"/>
      <w:color w:val="000000"/>
      <w:position w:val="0"/>
    </w:rPr>
  </w:style>
  <w:style w:type="character" w:customStyle="1" w:styleId="CharStyle31">
    <w:name w:val="Подпись к таблице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w:basedOn w:val="CharStyle7"/>
    <w:rPr>
      <w:lang w:val="ru-RU" w:eastAsia="ru-RU" w:bidi="ru-RU"/>
      <w:w w:val="100"/>
      <w:spacing w:val="0"/>
      <w:color w:val="000000"/>
      <w:position w:val="0"/>
    </w:rPr>
  </w:style>
  <w:style w:type="character" w:customStyle="1" w:styleId="CharStyle33">
    <w:name w:val="Основной текст + 21 pt,Курсив,Интервал -1 pt"/>
    <w:basedOn w:val="CharStyle7"/>
    <w:rPr>
      <w:lang w:val="ru-RU" w:eastAsia="ru-RU" w:bidi="ru-RU"/>
      <w:i/>
      <w:iCs/>
      <w:sz w:val="42"/>
      <w:szCs w:val="42"/>
      <w:w w:val="100"/>
      <w:spacing w:val="-20"/>
      <w:color w:val="000000"/>
      <w:position w:val="0"/>
    </w:rPr>
  </w:style>
  <w:style w:type="character" w:customStyle="1" w:styleId="CharStyle34">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35">
    <w:name w:val="Основной текст"/>
    <w:basedOn w:val="CharStyle7"/>
    <w:rPr>
      <w:lang w:val="ru-RU" w:eastAsia="ru-RU" w:bidi="ru-RU"/>
      <w:w w:val="100"/>
      <w:spacing w:val="0"/>
      <w:color w:val="000000"/>
      <w:position w:val="0"/>
    </w:rPr>
  </w:style>
  <w:style w:type="character" w:customStyle="1" w:styleId="CharStyle36">
    <w:name w:val="Основной текст + 21 pt,Курсив,Интервал -1 pt"/>
    <w:basedOn w:val="CharStyle7"/>
    <w:rPr>
      <w:lang w:val="en-US" w:eastAsia="en-US" w:bidi="en-US"/>
      <w:i/>
      <w:iCs/>
      <w:sz w:val="42"/>
      <w:szCs w:val="42"/>
      <w:w w:val="100"/>
      <w:spacing w:val="-20"/>
      <w:color w:val="000000"/>
      <w:position w:val="0"/>
    </w:rPr>
  </w:style>
  <w:style w:type="character" w:customStyle="1" w:styleId="CharStyle37">
    <w:name w:val="Основной текст"/>
    <w:basedOn w:val="CharStyle7"/>
    <w:rPr>
      <w:lang w:val="en-US" w:eastAsia="en-US" w:bidi="en-US"/>
      <w:w w:val="100"/>
      <w:spacing w:val="0"/>
      <w:color w:val="000000"/>
      <w:position w:val="0"/>
    </w:rPr>
  </w:style>
  <w:style w:type="character" w:customStyle="1" w:styleId="CharStyle39">
    <w:name w:val="Основной текст (6)_"/>
    <w:basedOn w:val="DefaultParagraphFont"/>
    <w:link w:val="Style38"/>
    <w:rPr>
      <w:b w:val="0"/>
      <w:bCs w:val="0"/>
      <w:i/>
      <w:iCs/>
      <w:u w:val="none"/>
      <w:strike w:val="0"/>
      <w:smallCaps w:val="0"/>
      <w:sz w:val="26"/>
      <w:szCs w:val="26"/>
      <w:rFonts w:ascii="Times New Roman" w:eastAsia="Times New Roman" w:hAnsi="Times New Roman" w:cs="Times New Roman"/>
      <w:spacing w:val="-20"/>
    </w:rPr>
  </w:style>
  <w:style w:type="character" w:customStyle="1" w:styleId="CharStyle40">
    <w:name w:val="Основной текст (6) + 9,5 pt,Не курсив,Интервал 0 pt"/>
    <w:basedOn w:val="CharStyle39"/>
    <w:rPr>
      <w:lang w:val="ru-RU" w:eastAsia="ru-RU" w:bidi="ru-RU"/>
      <w:i/>
      <w:iCs/>
      <w:sz w:val="19"/>
      <w:szCs w:val="19"/>
      <w:w w:val="100"/>
      <w:spacing w:val="-10"/>
      <w:color w:val="000000"/>
      <w:position w:val="0"/>
    </w:rPr>
  </w:style>
  <w:style w:type="character" w:customStyle="1" w:styleId="CharStyle41">
    <w:name w:val="Основной текст (6) + 9,5 pt,Не курсив,Интервал 0 pt"/>
    <w:basedOn w:val="CharStyle39"/>
    <w:rPr>
      <w:lang w:val="ru-RU" w:eastAsia="ru-RU" w:bidi="ru-RU"/>
      <w:i/>
      <w:iCs/>
      <w:u w:val="single"/>
      <w:sz w:val="19"/>
      <w:szCs w:val="19"/>
      <w:w w:val="100"/>
      <w:spacing w:val="-10"/>
      <w:color w:val="000000"/>
      <w:position w:val="0"/>
    </w:rPr>
  </w:style>
  <w:style w:type="character" w:customStyle="1" w:styleId="CharStyle42">
    <w:name w:val="Основной текст (6)"/>
    <w:basedOn w:val="CharStyle39"/>
    <w:rPr>
      <w:lang w:val="en-US" w:eastAsia="en-US" w:bidi="en-US"/>
      <w:u w:val="single"/>
      <w:w w:val="100"/>
      <w:color w:val="000000"/>
      <w:position w:val="0"/>
    </w:rPr>
  </w:style>
  <w:style w:type="character" w:customStyle="1" w:styleId="CharStyle43">
    <w:name w:val="Основной текст (6)"/>
    <w:basedOn w:val="CharStyle39"/>
    <w:rPr>
      <w:lang w:val="en-US" w:eastAsia="en-US" w:bidi="en-US"/>
      <w:w w:val="100"/>
      <w:color w:val="000000"/>
      <w:position w:val="0"/>
    </w:rPr>
  </w:style>
  <w:style w:type="character" w:customStyle="1" w:styleId="CharStyle44">
    <w:name w:val="Основной текст (6) + 9,5 pt,Не курсив,Интервал 0 pt"/>
    <w:basedOn w:val="CharStyle39"/>
    <w:rPr>
      <w:lang w:val="ru-RU" w:eastAsia="ru-RU" w:bidi="ru-RU"/>
      <w:i/>
      <w:iCs/>
      <w:sz w:val="19"/>
      <w:szCs w:val="19"/>
      <w:w w:val="100"/>
      <w:spacing w:val="-10"/>
      <w:color w:val="000000"/>
      <w:position w:val="0"/>
    </w:rPr>
  </w:style>
  <w:style w:type="character" w:customStyle="1" w:styleId="CharStyle45">
    <w:name w:val="Основной текст (6) + Интервал 13 pt"/>
    <w:basedOn w:val="CharStyle39"/>
    <w:rPr>
      <w:lang w:val="ru-RU" w:eastAsia="ru-RU" w:bidi="ru-RU"/>
      <w:w w:val="100"/>
      <w:spacing w:val="260"/>
      <w:color w:val="000000"/>
      <w:position w:val="0"/>
    </w:rPr>
  </w:style>
  <w:style w:type="character" w:customStyle="1" w:styleId="CharStyle47">
    <w:name w:val="Основной текст (7)_"/>
    <w:basedOn w:val="DefaultParagraphFont"/>
    <w:link w:val="Style46"/>
    <w:rPr>
      <w:b w:val="0"/>
      <w:bCs w:val="0"/>
      <w:i/>
      <w:iCs/>
      <w:u w:val="none"/>
      <w:strike w:val="0"/>
      <w:smallCaps w:val="0"/>
      <w:sz w:val="20"/>
      <w:szCs w:val="20"/>
      <w:rFonts w:ascii="Times New Roman" w:eastAsia="Times New Roman" w:hAnsi="Times New Roman" w:cs="Times New Roman"/>
    </w:rPr>
  </w:style>
  <w:style w:type="character" w:customStyle="1" w:styleId="CharStyle49">
    <w:name w:val="Основной текст (8)_"/>
    <w:basedOn w:val="DefaultParagraphFont"/>
    <w:link w:val="Style48"/>
    <w:rPr>
      <w:b w:val="0"/>
      <w:bCs w:val="0"/>
      <w:i w:val="0"/>
      <w:iCs w:val="0"/>
      <w:u w:val="none"/>
      <w:strike w:val="0"/>
      <w:smallCaps w:val="0"/>
      <w:sz w:val="20"/>
      <w:szCs w:val="20"/>
      <w:rFonts w:ascii="Times New Roman" w:eastAsia="Times New Roman" w:hAnsi="Times New Roman" w:cs="Times New Roman"/>
    </w:rPr>
  </w:style>
  <w:style w:type="character" w:customStyle="1" w:styleId="CharStyle50">
    <w:name w:val="Основной текст (8)"/>
    <w:basedOn w:val="CharStyle49"/>
    <w:rPr>
      <w:lang w:val="ru-RU" w:eastAsia="ru-RU" w:bidi="ru-RU"/>
      <w:w w:val="100"/>
      <w:spacing w:val="0"/>
      <w:color w:val="000000"/>
      <w:position w:val="0"/>
    </w:rPr>
  </w:style>
  <w:style w:type="character" w:customStyle="1" w:styleId="CharStyle51">
    <w:name w:val="Основной текст (8) + Курсив"/>
    <w:basedOn w:val="CharStyle49"/>
    <w:rPr>
      <w:lang w:val="ru-RU" w:eastAsia="ru-RU" w:bidi="ru-RU"/>
      <w:i/>
      <w:iCs/>
      <w:w w:val="100"/>
      <w:spacing w:val="0"/>
      <w:color w:val="000000"/>
      <w:position w:val="0"/>
    </w:rPr>
  </w:style>
  <w:style w:type="character" w:customStyle="1" w:styleId="CharStyle53">
    <w:name w:val="Заголовок №1_"/>
    <w:basedOn w:val="DefaultParagraphFont"/>
    <w:link w:val="Style52"/>
    <w:rPr>
      <w:b w:val="0"/>
      <w:bCs w:val="0"/>
      <w:i w:val="0"/>
      <w:iCs w:val="0"/>
      <w:u w:val="none"/>
      <w:strike w:val="0"/>
      <w:smallCaps w:val="0"/>
      <w:sz w:val="38"/>
      <w:szCs w:val="38"/>
      <w:rFonts w:ascii="Times New Roman" w:eastAsia="Times New Roman" w:hAnsi="Times New Roman" w:cs="Times New Roman"/>
      <w:spacing w:val="20"/>
    </w:rPr>
  </w:style>
  <w:style w:type="character" w:customStyle="1" w:styleId="CharStyle54">
    <w:name w:val="Основной текст + 19 pt,Курсив,Интервал -1 pt Exact"/>
    <w:basedOn w:val="CharStyle7"/>
    <w:rPr>
      <w:lang w:val="en-US" w:eastAsia="en-US" w:bidi="en-US"/>
      <w:i/>
      <w:iCs/>
      <w:sz w:val="38"/>
      <w:szCs w:val="38"/>
      <w:w w:val="100"/>
      <w:spacing w:val="-23"/>
      <w:color w:val="000000"/>
      <w:position w:val="0"/>
    </w:rPr>
  </w:style>
  <w:style w:type="character" w:customStyle="1" w:styleId="CharStyle55">
    <w:name w:val="Основной текст Exact"/>
    <w:basedOn w:val="CharStyle7"/>
    <w:rPr>
      <w:lang w:val="en-US" w:eastAsia="en-US" w:bidi="en-US"/>
      <w:sz w:val="24"/>
      <w:szCs w:val="24"/>
      <w:w w:val="100"/>
      <w:spacing w:val="8"/>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right"/>
      <w:spacing w:before="300" w:line="223"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60" w:after="60" w:line="284" w:lineRule="exact"/>
    </w:pPr>
    <w:rPr>
      <w:b/>
      <w:bCs/>
      <w:i w:val="0"/>
      <w:iCs w:val="0"/>
      <w:u w:val="none"/>
      <w:strike w:val="0"/>
      <w:smallCaps w:val="0"/>
      <w:rFonts w:ascii="Times New Roman" w:eastAsia="Times New Roman" w:hAnsi="Times New Roman" w:cs="Times New Roman"/>
    </w:rPr>
  </w:style>
  <w:style w:type="paragraph" w:customStyle="1" w:styleId="Style16">
    <w:name w:val="Заголовок №3"/>
    <w:basedOn w:val="Normal"/>
    <w:link w:val="CharStyle17"/>
    <w:pPr>
      <w:widowControl w:val="0"/>
      <w:shd w:val="clear" w:color="auto" w:fill="FFFFFF"/>
      <w:outlineLvl w:val="2"/>
      <w:spacing w:before="60" w:line="0" w:lineRule="exact"/>
    </w:pPr>
    <w:rPr>
      <w:lang w:val="en-US" w:eastAsia="en-US" w:bidi="en-US"/>
      <w:b w:val="0"/>
      <w:bCs w:val="0"/>
      <w:i/>
      <w:iCs/>
      <w:u w:val="none"/>
      <w:strike w:val="0"/>
      <w:smallCaps w:val="0"/>
      <w:sz w:val="42"/>
      <w:szCs w:val="42"/>
      <w:rFonts w:ascii="Times New Roman" w:eastAsia="Times New Roman" w:hAnsi="Times New Roman" w:cs="Times New Roman"/>
      <w:spacing w:val="-20"/>
    </w:rPr>
  </w:style>
  <w:style w:type="paragraph" w:customStyle="1" w:styleId="Style21">
    <w:name w:val="Основной текст (5)"/>
    <w:basedOn w:val="Normal"/>
    <w:link w:val="CharStyle24"/>
    <w:pPr>
      <w:widowControl w:val="0"/>
      <w:shd w:val="clear" w:color="auto" w:fill="FFFFFF"/>
      <w:jc w:val="both"/>
      <w:spacing w:after="102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right"/>
      <w:outlineLvl w:val="1"/>
      <w:spacing w:before="240" w:line="0" w:lineRule="exact"/>
    </w:pPr>
    <w:rPr>
      <w:b w:val="0"/>
      <w:bCs w:val="0"/>
      <w:i w:val="0"/>
      <w:iCs w:val="0"/>
      <w:u w:val="none"/>
      <w:strike w:val="0"/>
      <w:smallCaps w:val="0"/>
      <w:rFonts w:ascii="Times New Roman" w:eastAsia="Times New Roman" w:hAnsi="Times New Roman" w:cs="Times New Roman"/>
      <w:spacing w:val="30"/>
    </w:rPr>
  </w:style>
  <w:style w:type="paragraph" w:customStyle="1" w:styleId="Style30">
    <w:name w:val="Подпись к таблице"/>
    <w:basedOn w:val="Normal"/>
    <w:link w:val="CharStyle3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8">
    <w:name w:val="Основной текст (6)"/>
    <w:basedOn w:val="Normal"/>
    <w:link w:val="CharStyle39"/>
    <w:pPr>
      <w:widowControl w:val="0"/>
      <w:shd w:val="clear" w:color="auto" w:fill="FFFFFF"/>
      <w:jc w:val="both"/>
      <w:spacing w:before="60" w:line="0" w:lineRule="exact"/>
    </w:pPr>
    <w:rPr>
      <w:b w:val="0"/>
      <w:bCs w:val="0"/>
      <w:i/>
      <w:iCs/>
      <w:u w:val="none"/>
      <w:strike w:val="0"/>
      <w:smallCaps w:val="0"/>
      <w:sz w:val="26"/>
      <w:szCs w:val="26"/>
      <w:rFonts w:ascii="Times New Roman" w:eastAsia="Times New Roman" w:hAnsi="Times New Roman" w:cs="Times New Roman"/>
      <w:spacing w:val="-20"/>
    </w:rPr>
  </w:style>
  <w:style w:type="paragraph" w:customStyle="1" w:styleId="Style46">
    <w:name w:val="Основной текст (7)"/>
    <w:basedOn w:val="Normal"/>
    <w:link w:val="CharStyle47"/>
    <w:pPr>
      <w:widowControl w:val="0"/>
      <w:shd w:val="clear" w:color="auto" w:fill="FFFFFF"/>
      <w:jc w:val="right"/>
      <w:spacing w:after="54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48">
    <w:name w:val="Основной текст (8)"/>
    <w:basedOn w:val="Normal"/>
    <w:link w:val="CharStyle49"/>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2">
    <w:name w:val="Заголовок №1"/>
    <w:basedOn w:val="Normal"/>
    <w:link w:val="CharStyle53"/>
    <w:pPr>
      <w:widowControl w:val="0"/>
      <w:shd w:val="clear" w:color="auto" w:fill="FFFFFF"/>
      <w:jc w:val="right"/>
      <w:outlineLvl w:val="0"/>
      <w:spacing w:before="300" w:line="0" w:lineRule="exact"/>
    </w:pPr>
    <w:rPr>
      <w:b w:val="0"/>
      <w:bCs w:val="0"/>
      <w:i w:val="0"/>
      <w:iCs w:val="0"/>
      <w:u w:val="none"/>
      <w:strike w:val="0"/>
      <w:smallCaps w:val="0"/>
      <w:sz w:val="38"/>
      <w:szCs w:val="38"/>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