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74" w:h="2892" w:wrap="around" w:hAnchor="margin" w:x="11" w:y="1299"/>
        <w:widowControl w:val="0"/>
        <w:keepNext w:val="0"/>
        <w:keepLines w:val="0"/>
        <w:shd w:val="clear" w:color="auto" w:fill="auto"/>
        <w:bidi w:val="0"/>
        <w:spacing w:before="0" w:after="180"/>
        <w:ind w:left="20" w:right="0" w:firstLine="0"/>
      </w:pPr>
      <w:r>
        <w:rPr>
          <w:lang w:val="ru-RU" w:eastAsia="ru-RU" w:bidi="ru-RU"/>
          <w:w w:val="100"/>
          <w:spacing w:val="0"/>
          <w:color w:val="000000"/>
          <w:position w:val="0"/>
        </w:rPr>
        <w:t>ФЕДЕРАЛЬНАЯ АНТИМОНОПОЛЬНАЯ СЛУЖБА</w:t>
      </w:r>
    </w:p>
    <w:p>
      <w:pPr>
        <w:pStyle w:val="Style3"/>
        <w:framePr w:w="4874" w:h="2892" w:wrap="around" w:hAnchor="margin" w:x="11" w:y="129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74" w:h="2892" w:wrap="around" w:hAnchor="margin" w:x="11" w:y="1299"/>
        <w:widowControl w:val="0"/>
        <w:keepNext w:val="0"/>
        <w:keepLines w:val="0"/>
        <w:shd w:val="clear" w:color="auto" w:fill="auto"/>
        <w:bidi w:val="0"/>
        <w:spacing w:before="0" w:after="254"/>
        <w:ind w:left="2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4874" w:h="2892" w:wrap="around" w:hAnchor="margin" w:x="11" w:y="1299"/>
        <w:widowControl w:val="0"/>
        <w:keepNext w:val="0"/>
        <w:keepLines w:val="0"/>
        <w:shd w:val="clear" w:color="auto" w:fill="auto"/>
        <w:bidi w:val="0"/>
        <w:jc w:val="left"/>
        <w:spacing w:before="0" w:after="0" w:line="240" w:lineRule="exact"/>
        <w:ind w:left="20" w:right="0" w:firstLine="0"/>
      </w:pPr>
      <w:r>
        <w:rPr>
          <w:rStyle w:val="CharStyle8"/>
          <w:spacing w:val="0"/>
        </w:rPr>
        <w:t>03.11.2017 №06/12601</w:t>
      </w:r>
    </w:p>
    <w:p>
      <w:pPr>
        <w:pStyle w:val="Style7"/>
        <w:numPr>
          <w:ilvl w:val="0"/>
          <w:numId w:val="1"/>
        </w:numPr>
        <w:widowControl w:val="0"/>
        <w:keepNext w:val="0"/>
        <w:keepLines w:val="0"/>
        <w:shd w:val="clear" w:color="auto" w:fill="auto"/>
        <w:bidi w:val="0"/>
        <w:jc w:val="left"/>
        <w:spacing w:before="835" w:after="0"/>
        <w:ind w:left="4980" w:right="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20" w:right="320" w:firstLine="0"/>
      </w:pPr>
      <w:r>
        <w:rPr>
          <w:lang w:val="ru-RU" w:eastAsia="ru-RU" w:bidi="ru-RU"/>
          <w:w w:val="100"/>
          <w:spacing w:val="0"/>
          <w:color w:val="000000"/>
          <w:position w:val="0"/>
        </w:rPr>
        <w:t>Государственное бюджетное учреждение здравоохранения Республики Крым «Симферопольская городская детская клиническая больница»</w:t>
      </w:r>
    </w:p>
    <w:p>
      <w:pPr>
        <w:pStyle w:val="Style7"/>
        <w:framePr w:h="250" w:wrap="around" w:vAnchor="text" w:hAnchor="margin" w:x="2" w:y="678"/>
        <w:widowControl w:val="0"/>
        <w:keepNext w:val="0"/>
        <w:keepLines w:val="0"/>
        <w:shd w:val="clear" w:color="auto" w:fill="auto"/>
        <w:bidi w:val="0"/>
        <w:jc w:val="left"/>
        <w:spacing w:before="0" w:after="0" w:line="240" w:lineRule="exact"/>
        <w:ind w:left="0" w:right="0" w:firstLine="0"/>
      </w:pPr>
      <w:r>
        <w:rPr>
          <w:rStyle w:val="CharStyle8"/>
          <w:spacing w:val="0"/>
        </w:rPr>
        <w:t>На № б/н, б/д</w:t>
      </w:r>
    </w:p>
    <w:p>
      <w:pPr>
        <w:pStyle w:val="Style7"/>
        <w:widowControl w:val="0"/>
        <w:keepNext w:val="0"/>
        <w:keepLines w:val="0"/>
        <w:shd w:val="clear" w:color="auto" w:fill="auto"/>
        <w:bidi w:val="0"/>
        <w:jc w:val="left"/>
        <w:spacing w:before="0" w:after="0"/>
        <w:ind w:left="4980" w:right="320"/>
      </w:pPr>
      <w:r>
        <w:rPr>
          <w:lang w:val="ru-RU" w:eastAsia="ru-RU" w:bidi="ru-RU"/>
          <w:w w:val="100"/>
          <w:spacing w:val="0"/>
          <w:color w:val="000000"/>
          <w:position w:val="0"/>
        </w:rPr>
        <w:t>295026, Республика Крым, г. Симферополь, ул. Семашко, д. 6</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ind w:left="4980" w:right="140" w:firstLine="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295034, Республика Крым,</w:t>
      </w:r>
    </w:p>
    <w:p>
      <w:pPr>
        <w:pStyle w:val="Style7"/>
        <w:widowControl w:val="0"/>
        <w:keepNext w:val="0"/>
        <w:keepLines w:val="0"/>
        <w:shd w:val="clear" w:color="auto" w:fill="auto"/>
        <w:bidi w:val="0"/>
        <w:jc w:val="left"/>
        <w:spacing w:before="0" w:after="349"/>
        <w:ind w:left="4980" w:right="0" w:firstLine="0"/>
      </w:pPr>
      <w:r>
        <w:rPr>
          <w:lang w:val="ru-RU" w:eastAsia="ru-RU" w:bidi="ru-RU"/>
          <w:w w:val="100"/>
          <w:spacing w:val="0"/>
          <w:color w:val="000000"/>
          <w:position w:val="0"/>
        </w:rPr>
        <w:t>г. Симферополь, пр. Кирова, д. 13</w:t>
      </w:r>
    </w:p>
    <w:p>
      <w:pPr>
        <w:pStyle w:val="Style7"/>
        <w:numPr>
          <w:ilvl w:val="0"/>
          <w:numId w:val="1"/>
        </w:numPr>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304"/>
        <w:ind w:left="4980" w:right="140" w:firstLine="0"/>
      </w:pPr>
      <w:r>
        <w:rPr>
          <w:lang w:val="ru-RU" w:eastAsia="ru-RU" w:bidi="ru-RU"/>
          <w:w w:val="100"/>
          <w:spacing w:val="0"/>
          <w:color w:val="000000"/>
          <w:position w:val="0"/>
        </w:rPr>
        <w:t>Общество с ограниченной ответственностью «Строительно - монтажное управление ИнвестЖилСтрой» 125481, г. Москва, ул. Свободы, д. 99, корпус 1, помещение XIII, ком. 2</w:t>
      </w:r>
    </w:p>
    <w:p>
      <w:pPr>
        <w:pStyle w:val="Style7"/>
        <w:numPr>
          <w:ilvl w:val="0"/>
          <w:numId w:val="1"/>
        </w:numPr>
        <w:widowControl w:val="0"/>
        <w:keepNext w:val="0"/>
        <w:keepLines w:val="0"/>
        <w:shd w:val="clear" w:color="auto" w:fill="auto"/>
        <w:bidi w:val="0"/>
        <w:jc w:val="left"/>
        <w:spacing w:before="0" w:after="0" w:line="317" w:lineRule="exact"/>
        <w:ind w:left="4980" w:right="140" w:firstLine="0"/>
      </w:pPr>
      <w:r>
        <w:rPr>
          <w:lang w:val="ru-RU" w:eastAsia="ru-RU" w:bidi="ru-RU"/>
          <w:w w:val="100"/>
          <w:spacing w:val="0"/>
          <w:color w:val="000000"/>
          <w:position w:val="0"/>
        </w:rPr>
        <w:t xml:space="preserve"> Общество с ограниченной ответственностью «РТС-тендер»</w:t>
      </w:r>
    </w:p>
    <w:p>
      <w:pPr>
        <w:pStyle w:val="Style7"/>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121151, г. Москва, наб. Тараса Шевченко,</w:t>
      </w:r>
    </w:p>
    <w:p>
      <w:pPr>
        <w:pStyle w:val="Style7"/>
        <w:widowControl w:val="0"/>
        <w:keepNext w:val="0"/>
        <w:keepLines w:val="0"/>
        <w:shd w:val="clear" w:color="auto" w:fill="auto"/>
        <w:bidi w:val="0"/>
        <w:jc w:val="left"/>
        <w:spacing w:before="0" w:after="183" w:line="260" w:lineRule="exact"/>
        <w:ind w:left="4980" w:right="0" w:firstLine="0"/>
      </w:pPr>
      <w:r>
        <w:rPr>
          <w:lang w:val="ru-RU" w:eastAsia="ru-RU" w:bidi="ru-RU"/>
          <w:w w:val="100"/>
          <w:spacing w:val="0"/>
          <w:color w:val="000000"/>
          <w:position w:val="0"/>
        </w:rPr>
        <w:t>д. 23А, сектор В, 25 этаж</w:t>
      </w:r>
    </w:p>
    <w:p>
      <w:pPr>
        <w:pStyle w:val="Style10"/>
        <w:widowControl w:val="0"/>
        <w:keepNext w:val="0"/>
        <w:keepLines w:val="0"/>
        <w:shd w:val="clear" w:color="auto" w:fill="auto"/>
        <w:bidi w:val="0"/>
        <w:spacing w:before="0" w:after="229"/>
        <w:ind w:left="20" w:right="0" w:firstLine="0"/>
      </w:pPr>
      <w:r>
        <w:rPr>
          <w:lang w:val="ru-RU" w:eastAsia="ru-RU" w:bidi="ru-RU"/>
          <w:w w:val="100"/>
          <w:spacing w:val="0"/>
          <w:color w:val="000000"/>
          <w:position w:val="0"/>
        </w:rPr>
        <w:t>Решение по делу №06/4116-17 о нарушении законодательства Российской Федерации о контрактной системе в сфере закупок</w:t>
      </w:r>
    </w:p>
    <w:p>
      <w:pPr>
        <w:pStyle w:val="Style7"/>
        <w:tabs>
          <w:tab w:leader="none" w:pos="7984" w:val="left"/>
        </w:tabs>
        <w:widowControl w:val="0"/>
        <w:keepNext w:val="0"/>
        <w:keepLines w:val="0"/>
        <w:shd w:val="clear" w:color="auto" w:fill="auto"/>
        <w:bidi w:val="0"/>
        <w:jc w:val="both"/>
        <w:spacing w:before="0" w:after="193" w:line="260" w:lineRule="exact"/>
        <w:ind w:left="280" w:right="0" w:firstLine="0"/>
      </w:pPr>
      <w:r>
        <w:rPr>
          <w:lang w:val="ru-RU" w:eastAsia="ru-RU" w:bidi="ru-RU"/>
          <w:w w:val="100"/>
          <w:spacing w:val="0"/>
          <w:color w:val="000000"/>
          <w:position w:val="0"/>
        </w:rPr>
        <w:t>01.11.2017</w:t>
        <w:tab/>
        <w:t>г. Симферополь</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заместителя председателя Комиссии - начальника отдела контроля закупок</w:t>
      </w:r>
      <w:r>
        <w:br w:type="page"/>
      </w:r>
    </w:p>
    <w:p>
      <w:pPr>
        <w:pStyle w:val="Style7"/>
        <w:widowControl w:val="0"/>
        <w:keepNext w:val="0"/>
        <w:keepLines w:val="0"/>
        <w:shd w:val="clear" w:color="auto" w:fill="auto"/>
        <w:bidi w:val="0"/>
        <w:jc w:val="left"/>
        <w:spacing w:before="0" w:after="0"/>
        <w:ind w:left="860" w:right="5180" w:hanging="860"/>
      </w:pPr>
      <w:r>
        <w:rPr>
          <w:lang w:val="ru-RU" w:eastAsia="ru-RU" w:bidi="ru-RU"/>
          <w:w w:val="100"/>
          <w:spacing w:val="0"/>
          <w:color w:val="000000"/>
          <w:position w:val="0"/>
        </w:rPr>
        <w:t>Крымского УФАС России Н. П. Казаковой члена Комиссии:</w:t>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7"/>
        <w:widowControl w:val="0"/>
        <w:keepNext w:val="0"/>
        <w:keepLines w:val="0"/>
        <w:shd w:val="clear" w:color="auto" w:fill="auto"/>
        <w:bidi w:val="0"/>
        <w:jc w:val="left"/>
        <w:spacing w:before="0" w:after="0"/>
        <w:ind w:left="20" w:right="0" w:firstLine="860"/>
      </w:pPr>
      <w:r>
        <w:rPr>
          <w:lang w:val="ru-RU" w:eastAsia="ru-RU" w:bidi="ru-RU"/>
          <w:w w:val="100"/>
          <w:spacing w:val="0"/>
          <w:color w:val="000000"/>
          <w:position w:val="0"/>
        </w:rPr>
        <w:t>Уполномоченного органа И. В. Хованского (по доверенности),</w:t>
      </w:r>
    </w:p>
    <w:p>
      <w:pPr>
        <w:pStyle w:val="Style7"/>
        <w:tabs>
          <w:tab w:leader="none" w:pos="10206" w:val="righ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Заказчика Г. Р. Адилгащиевой (по доверенности), представители Заявителя на заседание Комиссии не явились, — рассмотрев жалобу Заявителя б/н, б/д (вх. №4707/09 от 27.10.2017) на действия Единой комиссии Уполномоченного органа при проведении электронного аукциона «Капитальный ремонт здания городской детской поликлиники ГБУЗ РК "Симферопольская городская детская клиническая больница" по адресу: г. Симферополь, ул. Семашко,6» (номер извещения 0175200000417000416) (далее — Аукцион), в соответствии со статьей 106 Федерального закона от 05.04.2013 №44 - 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109"/>
        <w:ind w:left="20" w:right="20" w:firstLine="0"/>
      </w:pPr>
      <w:r>
        <w:rPr>
          <w:lang w:val="ru-RU" w:eastAsia="ru-RU" w:bidi="ru-RU"/>
          <w:w w:val="100"/>
          <w:spacing w:val="0"/>
          <w:color w:val="000000"/>
          <w:position w:val="0"/>
        </w:rPr>
        <w:t>зарегистрированного в Министерстве юст</w:t>
      </w:r>
      <w:r>
        <w:rPr>
          <w:rStyle w:val="CharStyle12"/>
        </w:rPr>
        <w:t>ици</w:t>
      </w:r>
      <w:r>
        <w:rPr>
          <w:lang w:val="ru-RU" w:eastAsia="ru-RU" w:bidi="ru-RU"/>
          <w:w w:val="100"/>
          <w:spacing w:val="0"/>
          <w:color w:val="000000"/>
          <w:position w:val="0"/>
        </w:rPr>
        <w:t>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необоснованно отказавшей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27.10.2017 №06/12311,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left"/>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 извещение об осуществлении закупки размещено на официальном сайте — 12.09.2017, изменения - 26.09.2017;</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- 47 165 100,00 рублей;</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17.10.2017 08:00, дата окончания срока рассмотрения первых частей заявок участников: 24.10.2017, дата проведения Аукциона: 27.10.2017;</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 участие в Аукционе подана 21 заявка, из них 19 заявок признаны не соответствующими документации об Аукционе и Закону о контрактной системе - заявка под номером «7» (Заявитель);</w:t>
      </w:r>
    </w:p>
    <w:p>
      <w:pPr>
        <w:pStyle w:val="Style7"/>
        <w:numPr>
          <w:ilvl w:val="0"/>
          <w:numId w:val="3"/>
        </w:numPr>
        <w:widowControl w:val="0"/>
        <w:keepNext w:val="0"/>
        <w:keepLines w:val="0"/>
        <w:shd w:val="clear" w:color="auto" w:fill="auto"/>
        <w:bidi w:val="0"/>
        <w:jc w:val="both"/>
        <w:spacing w:before="0" w:after="180"/>
        <w:ind w:left="20" w:right="20" w:firstLine="860"/>
      </w:pPr>
      <w:r>
        <w:rPr>
          <w:lang w:val="ru-RU" w:eastAsia="ru-RU" w:bidi="ru-RU"/>
          <w:w w:val="100"/>
          <w:spacing w:val="0"/>
          <w:color w:val="000000"/>
          <w:position w:val="0"/>
        </w:rPr>
        <w:t xml:space="preserve"> при проведении Аукциона предложения о цене контракта подавали 2 участника, снижение от начальной (максимальной) цены контракта составило 1,00%.</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Единая комиссия Уполномоченного органа необоснованно отказала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w:t>
      </w:r>
    </w:p>
    <w:p>
      <w:pPr>
        <w:pStyle w:val="Style7"/>
        <w:widowControl w:val="0"/>
        <w:keepNext w:val="0"/>
        <w:keepLines w:val="0"/>
        <w:shd w:val="clear" w:color="auto" w:fill="auto"/>
        <w:bidi w:val="0"/>
        <w:jc w:val="both"/>
        <w:spacing w:before="0" w:after="0"/>
        <w:ind w:left="20" w:right="180" w:firstLine="0"/>
      </w:pPr>
      <w:r>
        <w:rPr>
          <w:lang w:val="ru-RU" w:eastAsia="ru-RU" w:bidi="ru-RU"/>
          <w:w w:val="100"/>
          <w:spacing w:val="0"/>
          <w:color w:val="000000"/>
          <w:position w:val="0"/>
        </w:rPr>
        <w:t>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5"/>
        </w:numPr>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5"/>
        </w:numPr>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13"/>
        <w:framePr w:w="10334"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24.10.2017 №0175200000417000416-1 закупки с порядковым номером </w:t>
      </w:r>
      <w:r>
        <w:rPr>
          <w:rStyle w:val="CharStyle15"/>
        </w:rPr>
        <w:t xml:space="preserve">заявки «7» (Заявитель) отказано в допуске к участию в Аукционе по причине: </w:t>
      </w:r>
      <w:r>
        <w:rPr>
          <w:rStyle w:val="CharStyle16"/>
        </w:rPr>
        <w:t>«...</w:t>
      </w:r>
    </w:p>
    <w:tbl>
      <w:tblPr>
        <w:tblOverlap w:val="never"/>
        <w:tblLayout w:type="fixed"/>
        <w:jc w:val="center"/>
      </w:tblPr>
      <w:tblGrid>
        <w:gridCol w:w="5222"/>
        <w:gridCol w:w="5112"/>
      </w:tblGrid>
      <w:tr>
        <w:trPr>
          <w:trHeight w:val="250" w:hRule="exact"/>
        </w:trPr>
        <w:tc>
          <w:tcPr>
            <w:shd w:val="clear" w:color="auto" w:fill="FFFFFF"/>
            <w:tcBorders>
              <w:lef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left"/>
              <w:spacing w:before="0" w:after="0" w:line="180" w:lineRule="exact"/>
              <w:ind w:left="20" w:right="0" w:firstLine="0"/>
            </w:pPr>
            <w:r>
              <w:rPr>
                <w:rStyle w:val="CharStyle20"/>
              </w:rPr>
              <w:t>Порядковый номер заявки</w:t>
            </w:r>
          </w:p>
        </w:tc>
        <w:tc>
          <w:tcPr>
            <w:shd w:val="clear" w:color="auto" w:fill="FFFFFF"/>
            <w:tcBorders>
              <w:left w:val="single" w:sz="4"/>
              <w:righ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Заявка № 7</w:t>
            </w:r>
          </w:p>
        </w:tc>
      </w:tr>
      <w:tr>
        <w:trPr>
          <w:trHeight w:val="274" w:hRule="exact"/>
        </w:trPr>
        <w:tc>
          <w:tcPr>
            <w:shd w:val="clear" w:color="auto" w:fill="FFFFFF"/>
            <w:tcBorders>
              <w:lef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left"/>
              <w:spacing w:before="0" w:after="0" w:line="180" w:lineRule="exact"/>
              <w:ind w:left="20" w:right="0" w:firstLine="0"/>
            </w:pPr>
            <w:r>
              <w:rPr>
                <w:rStyle w:val="CharStyle20"/>
              </w:rPr>
              <w:t>Статус допуска участника</w:t>
            </w:r>
          </w:p>
        </w:tc>
        <w:tc>
          <w:tcPr>
            <w:shd w:val="clear" w:color="auto" w:fill="FFFFFF"/>
            <w:tcBorders>
              <w:left w:val="single" w:sz="4"/>
              <w:righ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Отказ в допуске</w:t>
            </w:r>
          </w:p>
        </w:tc>
      </w:tr>
      <w:tr>
        <w:trPr>
          <w:trHeight w:val="250" w:hRule="exact"/>
        </w:trPr>
        <w:tc>
          <w:tcPr>
            <w:shd w:val="clear" w:color="auto" w:fill="FFFFFF"/>
            <w:gridSpan w:val="2"/>
            <w:tcBorders>
              <w:left w:val="single" w:sz="4"/>
              <w:right w:val="single" w:sz="4"/>
              <w:top w:val="single" w:sz="4"/>
              <w:bottom w:val="single" w:sz="4"/>
            </w:tcBorders>
            <w:vAlign w:val="bottom"/>
          </w:tcPr>
          <w:p>
            <w:pPr>
              <w:pStyle w:val="Style7"/>
              <w:framePr w:w="10334" w:wrap="notBeside" w:vAnchor="text" w:hAnchor="text" w:xAlign="center" w:y="1"/>
              <w:widowControl w:val="0"/>
              <w:keepNext w:val="0"/>
              <w:keepLines w:val="0"/>
              <w:shd w:val="clear" w:color="auto" w:fill="auto"/>
              <w:bidi w:val="0"/>
              <w:jc w:val="left"/>
              <w:spacing w:before="0" w:after="0" w:line="180" w:lineRule="exact"/>
              <w:ind w:left="20" w:right="0" w:firstLine="0"/>
            </w:pPr>
            <w:r>
              <w:rPr>
                <w:rStyle w:val="CharStyle20"/>
              </w:rPr>
              <w:t>Обоснование принятого решения</w:t>
            </w:r>
          </w:p>
        </w:tc>
      </w:tr>
    </w:tbl>
    <w:p>
      <w:pPr>
        <w:pStyle w:val="Style17"/>
        <w:framePr w:w="10334"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В соответствии с п.2 ч.4 ст.67 Закона 44-ФЗ, а именно: несоответствие в первой части заявки участника информации, предусмотренной п.п. б) п.3 ч.3 ст.66 Закона №44-ФЗ, п.1.1. ч.1 раздела </w:t>
      </w:r>
      <w:r>
        <w:rPr>
          <w:lang w:val="en-US" w:eastAsia="en-US" w:bidi="en-US"/>
          <w:w w:val="100"/>
          <w:spacing w:val="0"/>
          <w:color w:val="000000"/>
          <w:position w:val="0"/>
        </w:rPr>
        <w:t xml:space="preserve">II.III. </w:t>
      </w:r>
      <w:r>
        <w:rPr>
          <w:lang w:val="ru-RU" w:eastAsia="ru-RU" w:bidi="ru-RU"/>
          <w:w w:val="100"/>
          <w:spacing w:val="0"/>
          <w:color w:val="000000"/>
          <w:position w:val="0"/>
        </w:rPr>
        <w:t>документации об электронном аукционе:</w:t>
      </w:r>
    </w:p>
    <w:p>
      <w:pPr>
        <w:pStyle w:val="Style17"/>
        <w:numPr>
          <w:ilvl w:val="0"/>
          <w:numId w:val="7"/>
        </w:numPr>
        <w:framePr w:w="10334" w:wrap="notBeside" w:vAnchor="text" w:hAnchor="text" w:xAlign="center" w:y="1"/>
        <w:widowControl w:val="0"/>
        <w:keepNext w:val="0"/>
        <w:keepLines w:val="0"/>
        <w:shd w:val="clear" w:color="auto" w:fill="auto"/>
        <w:bidi w:val="0"/>
        <w:spacing w:before="0" w:after="0" w:line="226" w:lineRule="exact"/>
        <w:ind w:left="0" w:right="0" w:firstLine="0"/>
      </w:pPr>
      <w:r>
        <w:rPr>
          <w:lang w:val="ru-RU" w:eastAsia="ru-RU" w:bidi="ru-RU"/>
          <w:w w:val="100"/>
          <w:spacing w:val="0"/>
          <w:color w:val="000000"/>
          <w:position w:val="0"/>
        </w:rPr>
        <w:t xml:space="preserve"> Согласно части 8.1.1 раздела VI документации об электронном аукционе если при описании показателей, для которых указаны минимальные и (или) максимальные значения, Заказчик использует такие слова или знаки как: «не более», «не должен (должна) быть более», «не должен (должна) быть менее», «не менее», «не выше», «не должен (должна) быть выше», «не ниже», «не должен (должна) быть выше», «от», «до», «&lt;» (означает «меньше или равно»), «&gt;» (означает «больше или равно»), «не превышает», «не должен (должна) превышать», знак «-»: участник закупки должен указать конкретное значение показателя, соответствующее установленным Заказчиком требованиям, при этом крайние границы могут быть указаны в заявке участника закупки включительно. Если Заказчиком установлено только минимальное значение - то не менее минимального, а если установлено только максимальное значение - то не более максимального.</w:t>
      </w:r>
    </w:p>
    <w:p>
      <w:pPr>
        <w:pStyle w:val="Style17"/>
        <w:framePr w:w="10334" w:wrap="notBeside" w:vAnchor="text" w:hAnchor="text" w:xAlign="center" w:y="1"/>
        <w:widowControl w:val="0"/>
        <w:keepNext w:val="0"/>
        <w:keepLines w:val="0"/>
        <w:shd w:val="clear" w:color="auto" w:fill="auto"/>
        <w:bidi w:val="0"/>
        <w:spacing w:before="0" w:after="0" w:line="226" w:lineRule="exact"/>
        <w:ind w:left="0" w:right="0" w:firstLine="0"/>
      </w:pPr>
      <w:r>
        <w:rPr>
          <w:lang w:val="ru-RU" w:eastAsia="ru-RU" w:bidi="ru-RU"/>
          <w:w w:val="100"/>
          <w:spacing w:val="0"/>
          <w:color w:val="000000"/>
          <w:position w:val="0"/>
        </w:rPr>
        <w:t>В свою очередь по номенклатурной позиции №168 участником электронного аукциона предложено значение «Метрический номер: 0,18» (цитата из заявки), вместо требуемого заказчику «Метрический номер: от 0,3».</w:t>
      </w:r>
    </w:p>
    <w:p>
      <w:pPr>
        <w:pStyle w:val="Style17"/>
        <w:numPr>
          <w:ilvl w:val="0"/>
          <w:numId w:val="7"/>
        </w:numPr>
        <w:framePr w:w="10334" w:wrap="notBeside" w:vAnchor="text" w:hAnchor="text" w:xAlign="center" w:y="1"/>
        <w:widowControl w:val="0"/>
        <w:keepNext w:val="0"/>
        <w:keepLines w:val="0"/>
        <w:shd w:val="clear" w:color="auto" w:fill="auto"/>
        <w:bidi w:val="0"/>
        <w:spacing w:before="0" w:after="0" w:line="226" w:lineRule="exact"/>
        <w:ind w:left="0" w:right="0" w:firstLine="0"/>
      </w:pPr>
      <w:r>
        <w:rPr>
          <w:lang w:val="ru-RU" w:eastAsia="ru-RU" w:bidi="ru-RU"/>
          <w:w w:val="100"/>
          <w:spacing w:val="0"/>
          <w:color w:val="000000"/>
          <w:position w:val="0"/>
        </w:rPr>
        <w:t xml:space="preserve"> Согласно приложению №1 к разделу IV документации об аукционе в электронной форме по номенклатурной </w:t>
      </w:r>
      <w:r>
        <w:rPr>
          <w:rStyle w:val="CharStyle19"/>
          <w:b/>
          <w:bCs/>
        </w:rPr>
        <w:t>позиции №46 установлено требуемое значение «Заклепка медная по ГОСТ 10299-80. Номинальные размеры, мм:</w:t>
      </w:r>
    </w:p>
    <w:p>
      <w:pPr>
        <w:widowControl w:val="0"/>
        <w:rPr>
          <w:sz w:val="2"/>
          <w:szCs w:val="2"/>
        </w:rPr>
      </w:pPr>
    </w:p>
    <w:p>
      <w:pPr>
        <w:pStyle w:val="Style21"/>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диаметр стержня от 12,0; длина до 50. Теоретическая масса 1000 штук заклепок: не менее 45,03 кг».</w:t>
      </w:r>
    </w:p>
    <w:p>
      <w:pPr>
        <w:pStyle w:val="Style21"/>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 xml:space="preserve">В свою очередь, по данной номенклатурной позиции участником электронного аукциона предложено следующее значение «Заклепка медная </w:t>
      </w:r>
      <w:r>
        <w:rPr>
          <w:rStyle w:val="CharStyle23"/>
          <w:b/>
          <w:bCs/>
        </w:rPr>
        <w:t>по ГОСТ 10299-80</w:t>
      </w:r>
      <w:r>
        <w:rPr>
          <w:lang w:val="ru-RU" w:eastAsia="ru-RU" w:bidi="ru-RU"/>
          <w:w w:val="100"/>
          <w:spacing w:val="0"/>
          <w:color w:val="000000"/>
          <w:position w:val="0"/>
        </w:rPr>
        <w:t xml:space="preserve">. Номинальные размеры, мм: </w:t>
      </w:r>
      <w:r>
        <w:rPr>
          <w:rStyle w:val="CharStyle23"/>
          <w:b/>
          <w:bCs/>
        </w:rPr>
        <w:t>диаметр стержня 12,0; длина 50</w:t>
      </w:r>
      <w:r>
        <w:rPr>
          <w:lang w:val="ru-RU" w:eastAsia="ru-RU" w:bidi="ru-RU"/>
          <w:w w:val="100"/>
          <w:spacing w:val="0"/>
          <w:color w:val="000000"/>
          <w:position w:val="0"/>
        </w:rPr>
        <w:t xml:space="preserve">. Теоретическая масса 1000 штук заклепок: </w:t>
      </w:r>
      <w:r>
        <w:rPr>
          <w:rStyle w:val="CharStyle23"/>
          <w:b/>
          <w:bCs/>
        </w:rPr>
        <w:t>53,91 кг</w:t>
      </w:r>
      <w:r>
        <w:rPr>
          <w:lang w:val="ru-RU" w:eastAsia="ru-RU" w:bidi="ru-RU"/>
          <w:w w:val="100"/>
          <w:spacing w:val="0"/>
          <w:color w:val="000000"/>
          <w:position w:val="0"/>
        </w:rPr>
        <w:t>» (цитата из заявки).</w:t>
      </w:r>
    </w:p>
    <w:p>
      <w:pPr>
        <w:pStyle w:val="Style21"/>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 xml:space="preserve">Однако, в соответствии с приложением ГОСТ 10299-80 «Заклепки с полукруглой головкой классов точности В и С. Технические условия» </w:t>
      </w:r>
      <w:r>
        <w:rPr>
          <w:rStyle w:val="CharStyle23"/>
          <w:b/>
          <w:bCs/>
        </w:rPr>
        <w:t>с учетом примечания к таблице</w:t>
      </w:r>
      <w:r>
        <w:rPr>
          <w:lang w:val="ru-RU" w:eastAsia="ru-RU" w:bidi="ru-RU"/>
          <w:w w:val="100"/>
          <w:spacing w:val="0"/>
          <w:color w:val="000000"/>
          <w:position w:val="0"/>
        </w:rPr>
        <w:t>: теоретическая масса 1000 штук медных заклепок длиной 50 мм при номинальном диаметре стержня 12 мм будет равняться 53,91*1,134=61,13 кг.</w:t>
      </w:r>
    </w:p>
    <w:p>
      <w:pPr>
        <w:pStyle w:val="Style21"/>
        <w:tabs>
          <w:tab w:leader="underscore" w:pos="10298" w:val="left"/>
        </w:tabs>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 xml:space="preserve">Таким образом, участником предложен товар, используемый при выполнении работ не соответствующий </w:t>
      </w:r>
      <w:r>
        <w:rPr>
          <w:rStyle w:val="CharStyle23"/>
          <w:b/>
          <w:bCs/>
        </w:rPr>
        <w:t>требованиям документации об электронном аукционе.</w:t>
      </w:r>
      <w:r>
        <w:rPr>
          <w:lang w:val="ru-RU" w:eastAsia="ru-RU" w:bidi="ru-RU"/>
          <w:w w:val="100"/>
          <w:spacing w:val="0"/>
          <w:color w:val="000000"/>
          <w:position w:val="0"/>
        </w:rPr>
        <w:tab/>
      </w:r>
    </w:p>
    <w:p>
      <w:pPr>
        <w:pStyle w:val="Style7"/>
        <w:widowControl w:val="0"/>
        <w:keepNext w:val="0"/>
        <w:keepLines w:val="0"/>
        <w:shd w:val="clear" w:color="auto" w:fill="auto"/>
        <w:bidi w:val="0"/>
        <w:jc w:val="both"/>
        <w:spacing w:before="0" w:after="0"/>
        <w:ind w:left="40" w:right="0" w:firstLine="860"/>
      </w:pPr>
      <w:r>
        <w:rPr>
          <w:rStyle w:val="CharStyle24"/>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ind w:left="40" w:right="0" w:firstLine="860"/>
      </w:pPr>
      <w:r>
        <w:rPr>
          <w:lang w:val="ru-RU" w:eastAsia="ru-RU" w:bidi="ru-RU"/>
          <w:w w:val="100"/>
          <w:spacing w:val="0"/>
          <w:color w:val="000000"/>
          <w:position w:val="0"/>
        </w:rPr>
        <w:t>Заказчиком в Техническом заданию документации об Аукционе установлено:</w:t>
      </w:r>
    </w:p>
    <w:p>
      <w:pPr>
        <w:pStyle w:val="Style7"/>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w:t>
      </w:r>
    </w:p>
    <w:p>
      <w:pPr>
        <w:pStyle w:val="Style21"/>
        <w:widowControl w:val="0"/>
        <w:keepNext w:val="0"/>
        <w:keepLines w:val="0"/>
        <w:shd w:val="clear" w:color="auto" w:fill="auto"/>
        <w:bidi w:val="0"/>
        <w:jc w:val="left"/>
        <w:spacing w:before="0" w:after="0" w:line="230" w:lineRule="exact"/>
        <w:ind w:left="600" w:right="140" w:firstLine="8160"/>
      </w:pPr>
      <w:r>
        <w:rPr>
          <w:lang w:val="ru-RU" w:eastAsia="ru-RU" w:bidi="ru-RU"/>
          <w:w w:val="100"/>
          <w:spacing w:val="0"/>
          <w:color w:val="000000"/>
          <w:position w:val="0"/>
        </w:rPr>
        <w:t>Приложение №1 к Техническому заданию Требования к товарам, используемым при капитальном ремонте здания городской детской поликлиники ГБУЗ РК «Симферопольская городская детская клиническая больница» по адресу: г.</w:t>
      </w:r>
    </w:p>
    <w:p>
      <w:pPr>
        <w:pStyle w:val="Style21"/>
        <w:tabs>
          <w:tab w:leader="underscore" w:pos="5109" w:val="right"/>
          <w:tab w:leader="none" w:pos="5264" w:val="left"/>
          <w:tab w:leader="underscore" w:pos="10298" w:val="left"/>
        </w:tabs>
        <w:widowControl w:val="0"/>
        <w:keepNext w:val="0"/>
        <w:keepLines w:val="0"/>
        <w:shd w:val="clear" w:color="auto" w:fill="auto"/>
        <w:bidi w:val="0"/>
        <w:spacing w:before="0" w:after="0" w:line="230" w:lineRule="exact"/>
        <w:ind w:left="40" w:right="0" w:firstLine="0"/>
      </w:pPr>
      <w:r>
        <w:rPr>
          <w:lang w:val="ru-RU" w:eastAsia="ru-RU" w:bidi="ru-RU"/>
          <w:w w:val="100"/>
          <w:spacing w:val="0"/>
          <w:color w:val="000000"/>
          <w:position w:val="0"/>
        </w:rPr>
        <w:tab/>
      </w:r>
      <w:r>
        <w:rPr>
          <w:rStyle w:val="CharStyle23"/>
          <w:b/>
          <w:bCs/>
        </w:rPr>
        <w:t>Симферополь,</w:t>
        <w:tab/>
        <w:t>ул. Семашко,6.</w:t>
      </w:r>
      <w:r>
        <w:rPr>
          <w:lang w:val="ru-RU" w:eastAsia="ru-RU" w:bidi="ru-RU"/>
          <w:w w:val="100"/>
          <w:spacing w:val="0"/>
          <w:color w:val="000000"/>
          <w:position w:val="0"/>
        </w:rPr>
        <w:tab/>
      </w:r>
    </w:p>
    <w:tbl>
      <w:tblPr>
        <w:tblOverlap w:val="never"/>
        <w:tblLayout w:type="fixed"/>
        <w:jc w:val="center"/>
      </w:tblPr>
      <w:tblGrid>
        <w:gridCol w:w="1157"/>
        <w:gridCol w:w="9082"/>
      </w:tblGrid>
      <w:tr>
        <w:trPr>
          <w:trHeight w:val="480" w:hRule="exact"/>
        </w:trPr>
        <w:tc>
          <w:tcPr>
            <w:shd w:val="clear" w:color="auto" w:fill="FFFFFF"/>
            <w:tcBorders>
              <w:left w:val="single" w:sz="4"/>
              <w:top w:val="single" w:sz="4"/>
            </w:tcBorders>
            <w:vAlign w:val="center"/>
          </w:tcPr>
          <w:p>
            <w:pPr>
              <w:pStyle w:val="Style7"/>
              <w:framePr w:w="1023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 п/п</w:t>
            </w:r>
          </w:p>
        </w:tc>
        <w:tc>
          <w:tcPr>
            <w:shd w:val="clear" w:color="auto" w:fill="FFFFFF"/>
            <w:tcBorders>
              <w:left w:val="single" w:sz="4"/>
              <w:right w:val="single" w:sz="4"/>
              <w:top w:val="single" w:sz="4"/>
            </w:tcBorders>
            <w:vAlign w:val="bottom"/>
          </w:tcPr>
          <w:p>
            <w:pPr>
              <w:pStyle w:val="Style7"/>
              <w:framePr w:w="10238"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20"/>
              </w:rPr>
              <w:t>Наименование товара (материала). Качественные характеристики, минимальные и максимальные значения, а так же значения которые не могут изменяться.</w:t>
            </w:r>
          </w:p>
        </w:tc>
      </w:tr>
      <w:tr>
        <w:trPr>
          <w:trHeight w:val="312" w:hRule="exact"/>
        </w:trPr>
        <w:tc>
          <w:tcPr>
            <w:shd w:val="clear" w:color="auto" w:fill="FFFFFF"/>
            <w:tcBorders>
              <w:left w:val="single" w:sz="4"/>
              <w:top w:val="single" w:sz="4"/>
            </w:tcBorders>
            <w:vAlign w:val="top"/>
          </w:tcPr>
          <w:p>
            <w:pPr>
              <w:framePr w:w="1023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8" w:wrap="notBeside" w:vAnchor="text" w:hAnchor="text" w:xAlign="center" w:y="1"/>
              <w:widowControl w:val="0"/>
              <w:rPr>
                <w:sz w:val="10"/>
                <w:szCs w:val="10"/>
              </w:rPr>
            </w:pPr>
          </w:p>
        </w:tc>
      </w:tr>
      <w:tr>
        <w:trPr>
          <w:trHeight w:val="470" w:hRule="exact"/>
        </w:trPr>
        <w:tc>
          <w:tcPr>
            <w:shd w:val="clear" w:color="auto" w:fill="FFFFFF"/>
            <w:tcBorders>
              <w:left w:val="single" w:sz="4"/>
              <w:top w:val="single" w:sz="4"/>
            </w:tcBorders>
            <w:vAlign w:val="center"/>
          </w:tcPr>
          <w:p>
            <w:pPr>
              <w:pStyle w:val="Style7"/>
              <w:framePr w:w="1023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46</w:t>
            </w:r>
          </w:p>
        </w:tc>
        <w:tc>
          <w:tcPr>
            <w:shd w:val="clear" w:color="auto" w:fill="FFFFFF"/>
            <w:tcBorders>
              <w:left w:val="single" w:sz="4"/>
              <w:right w:val="single" w:sz="4"/>
              <w:top w:val="single" w:sz="4"/>
            </w:tcBorders>
            <w:vAlign w:val="bottom"/>
          </w:tcPr>
          <w:p>
            <w:pPr>
              <w:pStyle w:val="Style7"/>
              <w:framePr w:w="1023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0"/>
              </w:rPr>
              <w:t>Заклепка медная по ГОСТ 10299-80. Номинальные размеры, мм: диаметр стержня от 12,0; длина до 50. Теоретическая масса 1000 штук заклепок: не менее 45,03 кг.</w:t>
            </w:r>
          </w:p>
        </w:tc>
      </w:tr>
      <w:tr>
        <w:trPr>
          <w:trHeight w:val="307" w:hRule="exact"/>
        </w:trPr>
        <w:tc>
          <w:tcPr>
            <w:shd w:val="clear" w:color="auto" w:fill="FFFFFF"/>
            <w:tcBorders>
              <w:left w:val="single" w:sz="4"/>
              <w:top w:val="single" w:sz="4"/>
            </w:tcBorders>
            <w:vAlign w:val="top"/>
          </w:tcPr>
          <w:p>
            <w:pPr>
              <w:framePr w:w="1023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8" w:wrap="notBeside" w:vAnchor="text" w:hAnchor="text" w:xAlign="center" w:y="1"/>
              <w:widowControl w:val="0"/>
              <w:rPr>
                <w:sz w:val="10"/>
                <w:szCs w:val="10"/>
              </w:rPr>
            </w:pPr>
          </w:p>
        </w:tc>
      </w:tr>
      <w:tr>
        <w:trPr>
          <w:trHeight w:val="701" w:hRule="exact"/>
        </w:trPr>
        <w:tc>
          <w:tcPr>
            <w:shd w:val="clear" w:color="auto" w:fill="FFFFFF"/>
            <w:tcBorders>
              <w:left w:val="single" w:sz="4"/>
              <w:top w:val="single" w:sz="4"/>
            </w:tcBorders>
            <w:vAlign w:val="center"/>
          </w:tcPr>
          <w:p>
            <w:pPr>
              <w:pStyle w:val="Style7"/>
              <w:framePr w:w="1023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168</w:t>
            </w:r>
          </w:p>
        </w:tc>
        <w:tc>
          <w:tcPr>
            <w:shd w:val="clear" w:color="auto" w:fill="FFFFFF"/>
            <w:tcBorders>
              <w:left w:val="single" w:sz="4"/>
              <w:right w:val="single" w:sz="4"/>
              <w:top w:val="single" w:sz="4"/>
            </w:tcBorders>
            <w:vAlign w:val="bottom"/>
          </w:tcPr>
          <w:p>
            <w:pPr>
              <w:pStyle w:val="Style7"/>
              <w:framePr w:w="1023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0"/>
              </w:rPr>
              <w:t>Шпагат технический группы «а», полипропиленовый или из лубяных волокон. Ориентировочный диаметр шпагата: до 2,7 мм. Метрический номер: от 0,3. Разрывная нагрузка шпагата, кгс: от 35. Шпагат должен соответствовать ГОСТ 17308-88.</w:t>
            </w:r>
          </w:p>
        </w:tc>
      </w:tr>
      <w:tr>
        <w:trPr>
          <w:trHeight w:val="322" w:hRule="exact"/>
        </w:trPr>
        <w:tc>
          <w:tcPr>
            <w:shd w:val="clear" w:color="auto" w:fill="FFFFFF"/>
            <w:tcBorders>
              <w:left w:val="single" w:sz="4"/>
              <w:top w:val="single" w:sz="4"/>
              <w:bottom w:val="single" w:sz="4"/>
            </w:tcBorders>
            <w:vAlign w:val="top"/>
          </w:tcPr>
          <w:p>
            <w:pPr>
              <w:framePr w:w="10238"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8" w:wrap="notBeside" w:vAnchor="text" w:hAnchor="text" w:xAlign="center" w:y="1"/>
              <w:widowControl w:val="0"/>
              <w:rPr>
                <w:sz w:val="10"/>
                <w:szCs w:val="10"/>
              </w:rPr>
            </w:pPr>
          </w:p>
        </w:tc>
      </w:tr>
    </w:tbl>
    <w:p>
      <w:pPr>
        <w:widowControl w:val="0"/>
        <w:rPr>
          <w:sz w:val="2"/>
          <w:szCs w:val="2"/>
        </w:rPr>
      </w:pPr>
    </w:p>
    <w:p>
      <w:pPr>
        <w:pStyle w:val="Style7"/>
        <w:widowControl w:val="0"/>
        <w:keepNext w:val="0"/>
        <w:keepLines w:val="0"/>
        <w:shd w:val="clear" w:color="auto" w:fill="auto"/>
        <w:bidi w:val="0"/>
        <w:jc w:val="both"/>
        <w:spacing w:before="0" w:after="0" w:line="317" w:lineRule="exact"/>
        <w:ind w:left="40" w:right="0" w:firstLine="860"/>
      </w:pPr>
      <w:r>
        <w:rPr>
          <w:rStyle w:val="CharStyle24"/>
        </w:rPr>
        <w:t>...»</w:t>
      </w:r>
      <w:r>
        <w:rPr>
          <w:lang w:val="ru-RU" w:eastAsia="ru-RU" w:bidi="ru-RU"/>
          <w:w w:val="100"/>
          <w:spacing w:val="0"/>
          <w:color w:val="000000"/>
          <w:position w:val="0"/>
        </w:rPr>
        <w:t xml:space="preserve"> (цитаты).</w:t>
      </w:r>
    </w:p>
    <w:p>
      <w:pPr>
        <w:pStyle w:val="Style7"/>
        <w:widowControl w:val="0"/>
        <w:keepNext w:val="0"/>
        <w:keepLines w:val="0"/>
        <w:shd w:val="clear" w:color="auto" w:fill="auto"/>
        <w:bidi w:val="0"/>
        <w:jc w:val="both"/>
        <w:spacing w:before="0" w:after="0" w:line="317" w:lineRule="exact"/>
        <w:ind w:left="40" w:right="140" w:firstLine="860"/>
      </w:pPr>
      <w:r>
        <w:rPr>
          <w:lang w:val="ru-RU" w:eastAsia="ru-RU" w:bidi="ru-RU"/>
          <w:w w:val="100"/>
          <w:spacing w:val="0"/>
          <w:color w:val="000000"/>
          <w:position w:val="0"/>
        </w:rPr>
        <w:t>При этом документация об Аукционе содержит Инструкцию по заполнению первых частей заявок участников, согласно которой: «.</w:t>
      </w:r>
    </w:p>
    <w:p>
      <w:pPr>
        <w:pStyle w:val="Style21"/>
        <w:numPr>
          <w:ilvl w:val="0"/>
          <w:numId w:val="9"/>
        </w:numPr>
        <w:widowControl w:val="0"/>
        <w:keepNext w:val="0"/>
        <w:keepLines w:val="0"/>
        <w:shd w:val="clear" w:color="auto" w:fill="auto"/>
        <w:bidi w:val="0"/>
        <w:spacing w:before="0" w:after="0" w:line="230" w:lineRule="exact"/>
        <w:ind w:left="40" w:right="140" w:firstLine="860"/>
      </w:pPr>
      <w:r>
        <w:rPr>
          <w:lang w:val="ru-RU" w:eastAsia="ru-RU" w:bidi="ru-RU"/>
          <w:w w:val="100"/>
          <w:spacing w:val="0"/>
          <w:color w:val="000000"/>
          <w:position w:val="0"/>
        </w:rPr>
        <w:t xml:space="preserve"> Если при описании данного вида показателей Заказчик использует такие слова или знаки как: «не более», «не должен (должна) быть более», «не должен (должна) быть менее», «не менее», «не выше», «не должен (должна) быть выше», «не ниже», «не должен (должна) быть выше», «от», «до», «&lt;» (означает «меньше или равно»), «&gt;» (означает «больше или равно»), «не превышает», «не должен (должна) превышать», знак «-»:</w:t>
      </w:r>
    </w:p>
    <w:p>
      <w:pPr>
        <w:pStyle w:val="Style21"/>
        <w:widowControl w:val="0"/>
        <w:keepNext w:val="0"/>
        <w:keepLines w:val="0"/>
        <w:shd w:val="clear" w:color="auto" w:fill="auto"/>
        <w:bidi w:val="0"/>
        <w:spacing w:before="0" w:after="0"/>
        <w:ind w:left="40" w:right="140" w:firstLine="860"/>
      </w:pPr>
      <w:r>
        <w:rPr>
          <w:lang w:val="ru-RU" w:eastAsia="ru-RU" w:bidi="ru-RU"/>
          <w:w w:val="100"/>
          <w:spacing w:val="0"/>
          <w:color w:val="000000"/>
          <w:position w:val="0"/>
        </w:rPr>
        <w:t>участник закупки должен указать конкретное значение показателя, соответствующее установленным Заказчиком требованиям, при этом крайние границы могут быть указаны в заявке участника закупки включительно. Если Заказчиком установлено только минимальное значение - то не менее минимального, а если установлено только максимальное значение - то не более максимального.</w:t>
      </w:r>
    </w:p>
    <w:p>
      <w:pPr>
        <w:pStyle w:val="Style21"/>
        <w:numPr>
          <w:ilvl w:val="0"/>
          <w:numId w:val="9"/>
        </w:numPr>
        <w:widowControl w:val="0"/>
        <w:keepNext w:val="0"/>
        <w:keepLines w:val="0"/>
        <w:shd w:val="clear" w:color="auto" w:fill="auto"/>
        <w:bidi w:val="0"/>
        <w:spacing w:before="0" w:after="0"/>
        <w:ind w:left="40" w:right="140" w:firstLine="860"/>
      </w:pPr>
      <w:r>
        <w:rPr>
          <w:lang w:val="ru-RU" w:eastAsia="ru-RU" w:bidi="ru-RU"/>
          <w:w w:val="100"/>
          <w:spacing w:val="0"/>
          <w:color w:val="000000"/>
          <w:position w:val="0"/>
        </w:rPr>
        <w:t xml:space="preserve"> Если при описании данного вида показателей Заказчик использовал такие слова или знаки как: «более», «менее», «выше», «ниже», «&lt;» (означает «меньше»), «&gt;» (означает «больше»), «свыше», «св.», «не должен быть &lt;», «не должен быть &gt;»:</w:t>
      </w:r>
    </w:p>
    <w:p>
      <w:pPr>
        <w:pStyle w:val="Style21"/>
        <w:widowControl w:val="0"/>
        <w:keepNext w:val="0"/>
        <w:keepLines w:val="0"/>
        <w:shd w:val="clear" w:color="auto" w:fill="auto"/>
        <w:bidi w:val="0"/>
        <w:spacing w:before="0" w:after="0"/>
        <w:ind w:left="40" w:right="140" w:firstLine="860"/>
      </w:pPr>
      <w:r>
        <w:rPr>
          <w:lang w:val="ru-RU" w:eastAsia="ru-RU" w:bidi="ru-RU"/>
          <w:w w:val="100"/>
          <w:spacing w:val="0"/>
          <w:color w:val="000000"/>
          <w:position w:val="0"/>
        </w:rPr>
        <w:t>участник закупки должен указать конкретное значение показателя, соответствующее установленным Заказчиком требованиям, при этом крайние границы не могут быть указаны в заявке участника закупки. Если Заказчиком установлено только минимальное значение - то более минимального, а если установлено только максимальное значение - то менее максимального.</w:t>
      </w:r>
    </w:p>
    <w:p>
      <w:pPr>
        <w:pStyle w:val="Style21"/>
        <w:numPr>
          <w:ilvl w:val="0"/>
          <w:numId w:val="11"/>
        </w:numPr>
        <w:widowControl w:val="0"/>
        <w:keepNext w:val="0"/>
        <w:keepLines w:val="0"/>
        <w:shd w:val="clear" w:color="auto" w:fill="auto"/>
        <w:bidi w:val="0"/>
        <w:spacing w:before="0" w:after="0"/>
        <w:ind w:left="40" w:right="140" w:firstLine="860"/>
      </w:pPr>
      <w:r>
        <w:rPr>
          <w:lang w:val="ru-RU" w:eastAsia="ru-RU" w:bidi="ru-RU"/>
          <w:w w:val="100"/>
          <w:spacing w:val="0"/>
          <w:color w:val="000000"/>
          <w:position w:val="0"/>
        </w:rPr>
        <w:t xml:space="preserve"> Показатели товаров, в отношении которых установлены значения в диапазоне (в наименовании показателя используется слово «диапазон» или словосочетание «в диапазоне», а также значение фракции щебня, значение диаметра закрепляемой хомутом трубы, значение немерной длины) в заявке на участие в аукционе должны быть указаны диапазонным значением.</w:t>
      </w:r>
    </w:p>
    <w:p>
      <w:pPr>
        <w:pStyle w:val="Style7"/>
        <w:widowControl w:val="0"/>
        <w:keepNext w:val="0"/>
        <w:keepLines w:val="0"/>
        <w:shd w:val="clear" w:color="auto" w:fill="auto"/>
        <w:bidi w:val="0"/>
        <w:jc w:val="both"/>
        <w:spacing w:before="0" w:after="0" w:line="317" w:lineRule="exact"/>
        <w:ind w:left="40" w:right="0" w:firstLine="860"/>
      </w:pPr>
      <w:r>
        <w:rPr>
          <w:lang w:val="ru-RU" w:eastAsia="ru-RU" w:bidi="ru-RU"/>
          <w:w w:val="100"/>
          <w:spacing w:val="0"/>
          <w:color w:val="000000"/>
          <w:position w:val="0"/>
        </w:rPr>
        <w:t>... « (цитата).</w:t>
      </w:r>
    </w:p>
    <w:p>
      <w:pPr>
        <w:pStyle w:val="Style7"/>
        <w:widowControl w:val="0"/>
        <w:keepNext w:val="0"/>
        <w:keepLines w:val="0"/>
        <w:shd w:val="clear" w:color="auto" w:fill="auto"/>
        <w:bidi w:val="0"/>
        <w:jc w:val="both"/>
        <w:spacing w:before="0" w:after="0" w:line="317" w:lineRule="exact"/>
        <w:ind w:left="40" w:right="0" w:firstLine="560"/>
      </w:pPr>
      <w:r>
        <w:rPr>
          <w:lang w:val="ru-RU" w:eastAsia="ru-RU" w:bidi="ru-RU"/>
          <w:w w:val="100"/>
          <w:spacing w:val="0"/>
          <w:color w:val="000000"/>
          <w:position w:val="0"/>
        </w:rPr>
        <w:t>На заседании Комиссии представитель Уполномоченного органа пояснил, что</w:t>
      </w:r>
    </w:p>
    <w:p>
      <w:pPr>
        <w:pStyle w:val="Style7"/>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Заявителем в составе своей первой части заявки под порядковым номером «7»</w:t>
      </w:r>
    </w:p>
    <w:p>
      <w:pPr>
        <w:pStyle w:val="Style7"/>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представлены показатели товаров (материалов), используемых при выполнении</w:t>
      </w:r>
    </w:p>
    <w:p>
      <w:pPr>
        <w:pStyle w:val="Style7"/>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работ противоречащие требованиям документации об Аукционе и положениям</w:t>
      </w:r>
    </w:p>
    <w:p>
      <w:pPr>
        <w:pStyle w:val="Style21"/>
        <w:widowControl w:val="0"/>
        <w:keepNext w:val="0"/>
        <w:keepLines w:val="0"/>
        <w:shd w:val="clear" w:color="auto" w:fill="auto"/>
        <w:bidi w:val="0"/>
        <w:spacing w:before="0" w:after="0" w:line="240" w:lineRule="exact"/>
        <w:ind w:left="40" w:right="140" w:firstLine="0"/>
      </w:pPr>
      <w:r>
        <w:rPr>
          <w:rStyle w:val="CharStyle25"/>
          <w:b w:val="0"/>
          <w:bCs w:val="0"/>
        </w:rPr>
        <w:t>соответствующих государственных стандартов, а именно: «.</w:t>
      </w:r>
      <w:r>
        <w:rPr>
          <w:lang w:val="ru-RU" w:eastAsia="ru-RU" w:bidi="ru-RU"/>
          <w:w w:val="100"/>
          <w:spacing w:val="0"/>
          <w:color w:val="000000"/>
          <w:position w:val="0"/>
        </w:rPr>
        <w:t>по номенклатурной позиции №168 участником электронного аукциона предложено значение «Метрический номер: 0,18» (цитата из заявки), вместо требуемого заказчику «Метрический номер: от 0,3».</w:t>
      </w:r>
      <w:r>
        <w:br w:type="page"/>
      </w:r>
    </w:p>
    <w:p>
      <w:pPr>
        <w:pStyle w:val="Style21"/>
        <w:widowControl w:val="0"/>
        <w:keepNext w:val="0"/>
        <w:keepLines w:val="0"/>
        <w:shd w:val="clear" w:color="auto" w:fill="auto"/>
        <w:bidi w:val="0"/>
        <w:spacing w:before="0" w:after="0" w:line="230" w:lineRule="exact"/>
        <w:ind w:left="0" w:right="20" w:firstLine="540"/>
      </w:pPr>
      <w:r>
        <w:rPr>
          <w:lang w:val="ru-RU" w:eastAsia="ru-RU" w:bidi="ru-RU"/>
          <w:w w:val="100"/>
          <w:spacing w:val="0"/>
          <w:color w:val="000000"/>
          <w:position w:val="0"/>
        </w:rPr>
        <w:t>По номенклатурной позиции №46 установлено требуемое значение «Заклепка медная по ГОСТ 10299-80. Номинальные размеры, мм: диаметр стержня от 12,0; длина до 50. Теоретическая масса 1000 штук заклепок: не менее 45,03 кг».</w:t>
      </w:r>
    </w:p>
    <w:p>
      <w:pPr>
        <w:pStyle w:val="Style21"/>
        <w:widowControl w:val="0"/>
        <w:keepNext w:val="0"/>
        <w:keepLines w:val="0"/>
        <w:shd w:val="clear" w:color="auto" w:fill="auto"/>
        <w:bidi w:val="0"/>
        <w:spacing w:before="0" w:after="0" w:line="230" w:lineRule="exact"/>
        <w:ind w:left="0" w:right="20" w:firstLine="540"/>
      </w:pPr>
      <w:r>
        <w:rPr>
          <w:lang w:val="ru-RU" w:eastAsia="ru-RU" w:bidi="ru-RU"/>
          <w:w w:val="100"/>
          <w:spacing w:val="0"/>
          <w:color w:val="000000"/>
          <w:position w:val="0"/>
        </w:rPr>
        <w:t xml:space="preserve">В свою очередь, по данной номенклатурной позиции участником электронного аукциона предложено следующее значение «Заклепка медная </w:t>
      </w:r>
      <w:r>
        <w:rPr>
          <w:rStyle w:val="CharStyle23"/>
          <w:b/>
          <w:bCs/>
        </w:rPr>
        <w:t>по ГОСТ 10299-80</w:t>
      </w:r>
      <w:r>
        <w:rPr>
          <w:lang w:val="ru-RU" w:eastAsia="ru-RU" w:bidi="ru-RU"/>
          <w:w w:val="100"/>
          <w:spacing w:val="0"/>
          <w:color w:val="000000"/>
          <w:position w:val="0"/>
        </w:rPr>
        <w:t xml:space="preserve">. Номинальные размеры, мм: </w:t>
      </w:r>
      <w:r>
        <w:rPr>
          <w:rStyle w:val="CharStyle23"/>
          <w:b/>
          <w:bCs/>
        </w:rPr>
        <w:t>диаметр стержня 12,0; длина 50</w:t>
      </w:r>
      <w:r>
        <w:rPr>
          <w:lang w:val="ru-RU" w:eastAsia="ru-RU" w:bidi="ru-RU"/>
          <w:w w:val="100"/>
          <w:spacing w:val="0"/>
          <w:color w:val="000000"/>
          <w:position w:val="0"/>
        </w:rPr>
        <w:t xml:space="preserve">. Теоретическая масса 1000 штук заклепок: </w:t>
      </w:r>
      <w:r>
        <w:rPr>
          <w:rStyle w:val="CharStyle23"/>
          <w:b/>
          <w:bCs/>
        </w:rPr>
        <w:t>53,91 кг</w:t>
      </w:r>
      <w:r>
        <w:rPr>
          <w:lang w:val="ru-RU" w:eastAsia="ru-RU" w:bidi="ru-RU"/>
          <w:w w:val="100"/>
          <w:spacing w:val="0"/>
          <w:color w:val="000000"/>
          <w:position w:val="0"/>
        </w:rPr>
        <w:t>» (цитата из заявки).</w:t>
      </w:r>
    </w:p>
    <w:p>
      <w:pPr>
        <w:pStyle w:val="Style21"/>
        <w:widowControl w:val="0"/>
        <w:keepNext w:val="0"/>
        <w:keepLines w:val="0"/>
        <w:shd w:val="clear" w:color="auto" w:fill="auto"/>
        <w:bidi w:val="0"/>
        <w:spacing w:before="0" w:after="0" w:line="230" w:lineRule="exact"/>
        <w:ind w:left="0" w:right="20" w:firstLine="540"/>
      </w:pPr>
      <w:r>
        <w:rPr>
          <w:lang w:val="ru-RU" w:eastAsia="ru-RU" w:bidi="ru-RU"/>
          <w:w w:val="100"/>
          <w:spacing w:val="0"/>
          <w:color w:val="000000"/>
          <w:position w:val="0"/>
        </w:rPr>
        <w:t xml:space="preserve">Однако, в соответствии с приложением ГОСТ 10299-80 «Заклепки с полукруглой головкой классов точности В и С. Технические условия» </w:t>
      </w:r>
      <w:r>
        <w:rPr>
          <w:rStyle w:val="CharStyle23"/>
          <w:b/>
          <w:bCs/>
        </w:rPr>
        <w:t>с учетом примечания к таблице</w:t>
      </w:r>
      <w:r>
        <w:rPr>
          <w:lang w:val="ru-RU" w:eastAsia="ru-RU" w:bidi="ru-RU"/>
          <w:w w:val="100"/>
          <w:spacing w:val="0"/>
          <w:color w:val="000000"/>
          <w:position w:val="0"/>
        </w:rPr>
        <w:t>: теоретическая масса 1000 штук медных заклепок длиной 50 мм при номинальном диаметре стержня 12 мм будет равняться 53,91*1,134=61,13 кг.</w:t>
      </w:r>
    </w:p>
    <w:p>
      <w:pPr>
        <w:pStyle w:val="Style21"/>
        <w:widowControl w:val="0"/>
        <w:keepNext w:val="0"/>
        <w:keepLines w:val="0"/>
        <w:shd w:val="clear" w:color="auto" w:fill="auto"/>
        <w:bidi w:val="0"/>
        <w:spacing w:before="0" w:after="36" w:line="230" w:lineRule="exact"/>
        <w:ind w:left="0" w:right="0" w:firstLine="860"/>
      </w:pPr>
      <w:r>
        <w:rPr>
          <w:lang w:val="ru-RU" w:eastAsia="ru-RU" w:bidi="ru-RU"/>
          <w:w w:val="100"/>
          <w:spacing w:val="0"/>
          <w:color w:val="000000"/>
          <w:position w:val="0"/>
        </w:rPr>
        <w:t>Таким образом, участником предложен товар, используемый при выполнении работ не соответствующий</w:t>
      </w:r>
    </w:p>
    <w:p>
      <w:pPr>
        <w:pStyle w:val="Style21"/>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требованиям документации об электронном аукционе</w:t>
      </w:r>
      <w:r>
        <w:rPr>
          <w:rStyle w:val="CharStyle25"/>
          <w:b w:val="0"/>
          <w:bCs w:val="0"/>
        </w:rPr>
        <w:t>.. » (цитата письменных пояснений).</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На заседании Комиссия, изучив документацию об Аукционе, заявку с порядковым номером «7» (Заявитель), предоставленную представителем Уполномоченного органа, положения соответствующих ГОСТов, с учетом пояснений представителей Уполномоченного органа и Заказчика, приходит к выводу об обоснованности действий Единой комиссии Уполномоченного органа по признанию заявки Заявителя не соответствующей документации об Аукционе.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Учитывая изложенное, Комиссия приходит к выводу, что действия Единой комиссии Уполномоченного органа по рассмотрению заявки Заявителя не нарушают требования статей 66, 67 Закона о контрактной системе.</w:t>
      </w:r>
    </w:p>
    <w:p>
      <w:pPr>
        <w:pStyle w:val="Style7"/>
        <w:widowControl w:val="0"/>
        <w:keepNext w:val="0"/>
        <w:keepLines w:val="0"/>
        <w:shd w:val="clear" w:color="auto" w:fill="auto"/>
        <w:bidi w:val="0"/>
        <w:jc w:val="both"/>
        <w:spacing w:before="0" w:after="240"/>
        <w:ind w:left="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7"/>
        <w:widowControl w:val="0"/>
        <w:keepNext w:val="0"/>
        <w:keepLines w:val="0"/>
        <w:shd w:val="clear" w:color="auto" w:fill="auto"/>
        <w:bidi w:val="0"/>
        <w:jc w:val="both"/>
        <w:spacing w:before="0" w:after="109"/>
        <w:ind w:left="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77" w:line="260" w:lineRule="exact"/>
        <w:ind w:left="0" w:right="0" w:firstLine="0"/>
      </w:pPr>
      <w:r>
        <w:rPr>
          <w:lang w:val="ru-RU" w:eastAsia="ru-RU" w:bidi="ru-RU"/>
          <w:w w:val="100"/>
          <w:spacing w:val="0"/>
          <w:color w:val="000000"/>
          <w:position w:val="0"/>
        </w:rPr>
        <w:t>РЕШИЛА:</w:t>
      </w:r>
    </w:p>
    <w:p>
      <w:pPr>
        <w:pStyle w:val="Style7"/>
        <w:numPr>
          <w:ilvl w:val="0"/>
          <w:numId w:val="13"/>
        </w:numPr>
        <w:widowControl w:val="0"/>
        <w:keepNext w:val="0"/>
        <w:keepLines w:val="0"/>
        <w:shd w:val="clear" w:color="auto" w:fill="auto"/>
        <w:bidi w:val="0"/>
        <w:jc w:val="both"/>
        <w:spacing w:before="0" w:after="128" w:line="260" w:lineRule="exact"/>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13"/>
        </w:numPr>
        <w:widowControl w:val="0"/>
        <w:keepNext w:val="0"/>
        <w:keepLines w:val="0"/>
        <w:shd w:val="clear" w:color="auto" w:fill="auto"/>
        <w:bidi w:val="0"/>
        <w:jc w:val="both"/>
        <w:spacing w:before="0" w:after="240"/>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27.10.2017 №06/12311.</w:t>
      </w:r>
    </w:p>
    <w:p>
      <w:pPr>
        <w:pStyle w:val="Style7"/>
        <w:widowControl w:val="0"/>
        <w:keepNext w:val="0"/>
        <w:keepLines w:val="0"/>
        <w:shd w:val="clear" w:color="auto" w:fill="auto"/>
        <w:bidi w:val="0"/>
        <w:jc w:val="both"/>
        <w:spacing w:before="0" w:after="343"/>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66" w:val="right"/>
          <w:tab w:leader="none" w:pos="8400" w:val="right"/>
          <w:tab w:leader="none" w:pos="960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2" w:val="right"/>
          <w:tab w:leader="none" w:pos="8381" w:val="right"/>
          <w:tab w:leader="none" w:pos="953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85"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footnotePr>
        <w:pos w:val="pageBottom"/>
        <w:numFmt w:val="decimal"/>
        <w:numRestart w:val="continuous"/>
      </w:footnotePr>
      <w:type w:val="continuous"/>
      <w:pgSz w:w="11906" w:h="16838"/>
      <w:pgMar w:top="1429" w:left="845" w:right="687" w:bottom="88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bCs/>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8.1.%1."/>
      <w:rPr>
        <w:lang w:val="ru-RU" w:eastAsia="ru-RU" w:bidi="ru-RU"/>
        <w:b/>
        <w:bCs/>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10">
    <w:multiLevelType w:val="multilevel"/>
    <w:lvl w:ilvl="0">
      <w:start w:val="2"/>
      <w:numFmt w:val="decimal"/>
      <w:lvlText w:val="8.%1."/>
      <w:rPr>
        <w:lang w:val="ru-RU" w:eastAsia="ru-RU" w:bidi="ru-RU"/>
        <w:b/>
        <w:bCs/>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u w:val="single"/>
      <w:w w:val="100"/>
      <w:spacing w:val="0"/>
      <w:color w:val="000000"/>
      <w:position w:val="0"/>
    </w:rPr>
  </w:style>
  <w:style w:type="character" w:customStyle="1" w:styleId="CharStyle14">
    <w:name w:val="Подпись к таблице (2)_"/>
    <w:basedOn w:val="DefaultParagraphFont"/>
    <w:link w:val="Style13"/>
    <w:rPr>
      <w:b w:val="0"/>
      <w:bCs w:val="0"/>
      <w:i w:val="0"/>
      <w:iCs w:val="0"/>
      <w:u w:val="none"/>
      <w:strike w:val="0"/>
      <w:smallCaps w:val="0"/>
      <w:sz w:val="26"/>
      <w:szCs w:val="26"/>
      <w:rFonts w:ascii="Times New Roman" w:eastAsia="Times New Roman" w:hAnsi="Times New Roman" w:cs="Times New Roman"/>
    </w:rPr>
  </w:style>
  <w:style w:type="character" w:customStyle="1" w:styleId="CharStyle15">
    <w:name w:val="Подпись к таблице (2)"/>
    <w:basedOn w:val="CharStyle14"/>
    <w:rPr>
      <w:lang w:val="ru-RU" w:eastAsia="ru-RU" w:bidi="ru-RU"/>
      <w:u w:val="single"/>
      <w:w w:val="100"/>
      <w:spacing w:val="0"/>
      <w:color w:val="000000"/>
      <w:position w:val="0"/>
    </w:rPr>
  </w:style>
  <w:style w:type="character" w:customStyle="1" w:styleId="CharStyle16">
    <w:name w:val="Подпись к таблице (2)"/>
    <w:basedOn w:val="CharStyle14"/>
    <w:rPr>
      <w:lang w:val="ru-RU" w:eastAsia="ru-RU" w:bidi="ru-RU"/>
      <w:u w:val="single"/>
      <w:w w:val="100"/>
      <w:spacing w:val="0"/>
      <w:color w:val="000000"/>
      <w:position w:val="0"/>
    </w:rPr>
  </w:style>
  <w:style w:type="character" w:customStyle="1" w:styleId="CharStyle18">
    <w:name w:val="Подпись к таблице_"/>
    <w:basedOn w:val="DefaultParagraphFont"/>
    <w:link w:val="Style17"/>
    <w:rPr>
      <w:b/>
      <w:bCs/>
      <w:i w:val="0"/>
      <w:iCs w:val="0"/>
      <w:u w:val="none"/>
      <w:strike w:val="0"/>
      <w:smallCaps w:val="0"/>
      <w:sz w:val="18"/>
      <w:szCs w:val="18"/>
      <w:rFonts w:ascii="Times New Roman" w:eastAsia="Times New Roman" w:hAnsi="Times New Roman" w:cs="Times New Roman"/>
    </w:rPr>
  </w:style>
  <w:style w:type="character" w:customStyle="1" w:styleId="CharStyle19">
    <w:name w:val="Подпись к таблице"/>
    <w:basedOn w:val="CharStyle18"/>
    <w:rPr>
      <w:lang w:val="ru-RU" w:eastAsia="ru-RU" w:bidi="ru-RU"/>
      <w:u w:val="single"/>
      <w:w w:val="100"/>
      <w:spacing w:val="0"/>
      <w:color w:val="000000"/>
      <w:position w:val="0"/>
    </w:rPr>
  </w:style>
  <w:style w:type="character" w:customStyle="1" w:styleId="CharStyle20">
    <w:name w:val="Основной текст + 9 pt,Полужирный"/>
    <w:basedOn w:val="CharStyle9"/>
    <w:rPr>
      <w:lang w:val="ru-RU" w:eastAsia="ru-RU" w:bidi="ru-RU"/>
      <w:b/>
      <w:bCs/>
      <w:sz w:val="18"/>
      <w:szCs w:val="18"/>
      <w:w w:val="100"/>
      <w:spacing w:val="0"/>
      <w:color w:val="000000"/>
      <w:position w:val="0"/>
    </w:rPr>
  </w:style>
  <w:style w:type="character" w:customStyle="1" w:styleId="CharStyle22">
    <w:name w:val="Основной текст (5)_"/>
    <w:basedOn w:val="DefaultParagraphFont"/>
    <w:link w:val="Style21"/>
    <w:rPr>
      <w:b/>
      <w:bCs/>
      <w:i w:val="0"/>
      <w:iCs w:val="0"/>
      <w:u w:val="none"/>
      <w:strike w:val="0"/>
      <w:smallCaps w:val="0"/>
      <w:sz w:val="18"/>
      <w:szCs w:val="18"/>
      <w:rFonts w:ascii="Times New Roman" w:eastAsia="Times New Roman" w:hAnsi="Times New Roman" w:cs="Times New Roman"/>
    </w:rPr>
  </w:style>
  <w:style w:type="character" w:customStyle="1" w:styleId="CharStyle23">
    <w:name w:val="Основной текст (5)"/>
    <w:basedOn w:val="CharStyle22"/>
    <w:rPr>
      <w:lang w:val="ru-RU" w:eastAsia="ru-RU" w:bidi="ru-RU"/>
      <w:u w:val="single"/>
      <w:w w:val="100"/>
      <w:spacing w:val="0"/>
      <w:color w:val="000000"/>
      <w:position w:val="0"/>
    </w:rPr>
  </w:style>
  <w:style w:type="character" w:customStyle="1" w:styleId="CharStyle24">
    <w:name w:val="Основной текст + Интервал 1 pt"/>
    <w:basedOn w:val="CharStyle9"/>
    <w:rPr>
      <w:lang w:val="ru-RU" w:eastAsia="ru-RU" w:bidi="ru-RU"/>
      <w:w w:val="100"/>
      <w:spacing w:val="30"/>
      <w:color w:val="000000"/>
      <w:position w:val="0"/>
    </w:rPr>
  </w:style>
  <w:style w:type="character" w:customStyle="1" w:styleId="CharStyle25">
    <w:name w:val="Основной текст (5) + 13 pt,Не полужирный"/>
    <w:basedOn w:val="CharStyle22"/>
    <w:rPr>
      <w:lang w:val="ru-RU" w:eastAsia="ru-RU" w:bidi="ru-RU"/>
      <w:b/>
      <w:bCs/>
      <w:sz w:val="26"/>
      <w:szCs w:val="26"/>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900" w:line="322" w:lineRule="exact"/>
      <w:ind w:hanging="4960"/>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300"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Подпись к таблице (2)"/>
    <w:basedOn w:val="Normal"/>
    <w:link w:val="CharStyle14"/>
    <w:pPr>
      <w:widowControl w:val="0"/>
      <w:shd w:val="clear" w:color="auto" w:fill="FFFFFF"/>
      <w:jc w:val="both"/>
      <w:spacing w:line="322" w:lineRule="exact"/>
      <w:ind w:firstLine="700"/>
    </w:pPr>
    <w:rPr>
      <w:b w:val="0"/>
      <w:bCs w:val="0"/>
      <w:i w:val="0"/>
      <w:iCs w:val="0"/>
      <w:u w:val="none"/>
      <w:strike w:val="0"/>
      <w:smallCaps w:val="0"/>
      <w:sz w:val="26"/>
      <w:szCs w:val="26"/>
      <w:rFonts w:ascii="Times New Roman" w:eastAsia="Times New Roman" w:hAnsi="Times New Roman" w:cs="Times New Roman"/>
    </w:rPr>
  </w:style>
  <w:style w:type="paragraph" w:customStyle="1" w:styleId="Style17">
    <w:name w:val="Подпись к таблице"/>
    <w:basedOn w:val="Normal"/>
    <w:link w:val="CharStyle18"/>
    <w:pPr>
      <w:widowControl w:val="0"/>
      <w:shd w:val="clear" w:color="auto" w:fill="FFFFFF"/>
      <w:jc w:val="both"/>
      <w:spacing w:line="230" w:lineRule="exact"/>
      <w:ind w:firstLine="520"/>
    </w:pPr>
    <w:rPr>
      <w:b/>
      <w:bCs/>
      <w:i w:val="0"/>
      <w:iCs w:val="0"/>
      <w:u w:val="none"/>
      <w:strike w:val="0"/>
      <w:smallCaps w:val="0"/>
      <w:sz w:val="18"/>
      <w:szCs w:val="18"/>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jc w:val="both"/>
      <w:spacing w:line="226"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