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ind w:left="0" w:right="20" w:firstLine="0"/>
      </w:pPr>
      <w:r>
        <w:rPr>
          <w:rStyle w:val="CharStyle5"/>
        </w:rPr>
        <w:t>Заявителю</w:t>
      </w:r>
      <w:r>
        <w:rPr>
          <w:lang w:val="ru-RU" w:eastAsia="ru-RU" w:bidi="ru-RU"/>
          <w:w w:val="100"/>
          <w:spacing w:val="0"/>
          <w:color w:val="000000"/>
          <w:position w:val="0"/>
        </w:rPr>
        <w:t>:</w:t>
      </w:r>
    </w:p>
    <w:p>
      <w:pPr>
        <w:pStyle w:val="Style3"/>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ООО «Торговая компания Нотлекс» 195299, г. Санкт-Петербург, ул. Киришская, д. 2а, оф. 214</w:t>
      </w:r>
    </w:p>
    <w:p>
      <w:pPr>
        <w:pStyle w:val="Style3"/>
        <w:widowControl w:val="0"/>
        <w:keepNext w:val="0"/>
        <w:keepLines w:val="0"/>
        <w:shd w:val="clear" w:color="auto" w:fill="auto"/>
        <w:bidi w:val="0"/>
        <w:spacing w:before="0" w:after="0"/>
        <w:ind w:left="0" w:right="20" w:firstLine="0"/>
        <w:sectPr>
          <w:footnotePr>
            <w:pos w:val="pageBottom"/>
            <w:numFmt w:val="decimal"/>
            <w:numRestart w:val="continuous"/>
          </w:footnotePr>
          <w:type w:val="continuous"/>
          <w:pgSz w:w="11906" w:h="16838"/>
          <w:pgMar w:top="642" w:left="4991" w:right="1012" w:bottom="680" w:header="0" w:footer="3" w:gutter="0"/>
          <w:rtlGutter w:val="0"/>
          <w:cols w:space="720"/>
          <w:noEndnote/>
          <w:docGrid w:linePitch="360"/>
        </w:sectPr>
      </w:pPr>
      <w:r>
        <w:rPr>
          <w:lang w:val="en-US" w:eastAsia="en-US" w:bidi="en-US"/>
          <w:w w:val="100"/>
          <w:spacing w:val="0"/>
          <w:color w:val="000000"/>
          <w:position w:val="0"/>
        </w:rPr>
        <w:t xml:space="preserve">e-mail: </w:t>
      </w:r>
      <w:r>
        <w:fldChar w:fldCharType="begin"/>
      </w:r>
      <w:r>
        <w:rPr>
          <w:color w:val="000000"/>
        </w:rPr>
        <w:instrText> HYPERLINK "mailto:e.notlex@yandex.ru" </w:instrText>
      </w:r>
      <w:r>
        <w:fldChar w:fldCharType="separate"/>
      </w:r>
      <w:r>
        <w:rPr>
          <w:rStyle w:val="Hyperlink"/>
          <w:lang w:val="en-US" w:eastAsia="en-US" w:bidi="en-US"/>
          <w:w w:val="100"/>
          <w:spacing w:val="0"/>
          <w:position w:val="0"/>
        </w:rPr>
        <w:t>e.notlex@yandex.ru</w:t>
      </w:r>
      <w:r>
        <w:fldChar w:fldCharType="end"/>
      </w:r>
    </w:p>
    <w:p>
      <w:pPr>
        <w:widowControl w:val="0"/>
        <w:spacing w:line="26"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45"/>
        <w:ind w:left="0" w:right="0" w:firstLine="0"/>
      </w:pPr>
      <w:r>
        <w:rPr>
          <w:rStyle w:val="CharStyle8"/>
        </w:rPr>
        <w:t>ФЕДЕРАЛЬНАЯ АНТИМОНОПОЛЬНАЯ СЛУЖБА</w:t>
      </w:r>
    </w:p>
    <w:p>
      <w:pPr>
        <w:pStyle w:val="Style3"/>
        <w:widowControl w:val="0"/>
        <w:keepNext w:val="0"/>
        <w:keepLines w:val="0"/>
        <w:shd w:val="clear" w:color="auto" w:fill="auto"/>
        <w:bidi w:val="0"/>
        <w:jc w:val="center"/>
        <w:spacing w:before="0" w:after="110" w:line="293" w:lineRule="exact"/>
        <w:ind w:left="0" w:right="0" w:firstLine="0"/>
      </w:pPr>
      <w:r>
        <w:rPr>
          <w:rStyle w:val="CharStyle9"/>
        </w:rPr>
        <w:t>УПРАВЛЕНИЕ Федеральной антимонопольной службы по Орловской области</w:t>
      </w:r>
    </w:p>
    <w:p>
      <w:pPr>
        <w:pStyle w:val="Style10"/>
        <w:widowControl w:val="0"/>
        <w:keepNext w:val="0"/>
        <w:keepLines w:val="0"/>
        <w:shd w:val="clear" w:color="auto" w:fill="auto"/>
        <w:bidi w:val="0"/>
        <w:spacing w:before="0" w:after="0"/>
        <w:ind w:left="0" w:right="0" w:firstLine="0"/>
      </w:pPr>
      <w:r>
        <w:rPr>
          <w:rStyle w:val="CharStyle12"/>
        </w:rPr>
        <w:t>ул. Салтыкова-Щедрина, 21, г. Орел, ГСП, 302000 тел. (4862) 47-53-57, факс (4862) 76-44-60</w:t>
      </w:r>
    </w:p>
    <w:p>
      <w:pPr>
        <w:pStyle w:val="Style10"/>
        <w:tabs>
          <w:tab w:leader="none" w:pos="3980" w:val="right"/>
        </w:tabs>
        <w:widowControl w:val="0"/>
        <w:keepNext w:val="0"/>
        <w:keepLines w:val="0"/>
        <w:shd w:val="clear" w:color="auto" w:fill="auto"/>
        <w:bidi w:val="0"/>
        <w:jc w:val="both"/>
        <w:spacing w:before="0" w:after="36"/>
        <w:ind w:left="1340" w:right="0" w:firstLine="0"/>
      </w:pPr>
      <w:r>
        <w:rPr>
          <w:rStyle w:val="CharStyle12"/>
          <w:lang w:val="en-US" w:eastAsia="en-US" w:bidi="en-US"/>
        </w:rPr>
        <w:t xml:space="preserve">e-mail: </w:t>
      </w:r>
      <w:r>
        <w:fldChar w:fldCharType="begin"/>
      </w:r>
      <w:r>
        <w:rPr>
          <w:rStyle w:val="CharStyle12"/>
        </w:rPr>
        <w:instrText> HYPERLINK "mailto:to57@fas.gov.ru" </w:instrText>
      </w:r>
      <w:r>
        <w:fldChar w:fldCharType="separate"/>
      </w:r>
      <w:r>
        <w:rPr>
          <w:rStyle w:val="Hyperlink"/>
          <w:lang w:val="en-US" w:eastAsia="en-US" w:bidi="en-US"/>
        </w:rPr>
        <w:t>to57@fas.gov.ru</w:t>
      </w:r>
      <w:r>
        <w:fldChar w:fldCharType="end"/>
      </w:r>
      <w:r>
        <w:rPr>
          <w:rStyle w:val="CharStyle12"/>
          <w:lang w:val="en-US" w:eastAsia="en-US" w:bidi="en-US"/>
        </w:rPr>
        <w:tab/>
      </w:r>
      <w:r>
        <w:rPr>
          <w:lang w:val="ru-RU" w:eastAsia="ru-RU" w:bidi="ru-RU"/>
          <w:w w:val="100"/>
          <w:spacing w:val="0"/>
          <w:color w:val="000000"/>
          <w:position w:val="0"/>
        </w:rPr>
        <w:t>„</w:t>
      </w:r>
    </w:p>
    <w:p>
      <w:pPr>
        <w:pStyle w:val="Style13"/>
        <w:tabs>
          <w:tab w:leader="underscore" w:pos="2991" w:val="right"/>
          <w:tab w:leader="none" w:pos="3980" w:val="right"/>
        </w:tabs>
        <w:widowControl w:val="0"/>
        <w:keepNext/>
        <w:keepLines/>
        <w:shd w:val="clear" w:color="auto" w:fill="auto"/>
        <w:bidi w:val="0"/>
        <w:spacing w:before="0" w:after="245" w:line="260" w:lineRule="exact"/>
        <w:ind w:left="380" w:right="0" w:firstLine="0"/>
      </w:pPr>
      <w:bookmarkStart w:id="0" w:name="bookmark0"/>
      <w:r>
        <w:rPr>
          <w:rStyle w:val="CharStyle15"/>
          <w:i/>
          <w:iCs/>
        </w:rPr>
        <w:t>Oi.</w:t>
      </w:r>
      <w:r>
        <w:rPr>
          <w:rStyle w:val="CharStyle16"/>
          <w:lang w:val="en-US" w:eastAsia="en-US" w:bidi="en-US"/>
          <w:i w:val="0"/>
          <w:iCs w:val="0"/>
        </w:rPr>
        <w:t xml:space="preserve"> </w:t>
      </w:r>
      <w:r>
        <w:rPr>
          <w:rStyle w:val="CharStyle16"/>
          <w:i w:val="0"/>
          <w:iCs w:val="0"/>
        </w:rPr>
        <w:t xml:space="preserve">/Л </w:t>
      </w:r>
      <w:r>
        <w:rPr>
          <w:rStyle w:val="CharStyle15"/>
          <w:lang w:val="ru-RU" w:eastAsia="ru-RU" w:bidi="ru-RU"/>
          <w:i/>
          <w:iCs/>
        </w:rPr>
        <w:t>Ю/Х</w:t>
      </w:r>
      <w:r>
        <w:rPr>
          <w:rStyle w:val="CharStyle17"/>
          <w:i w:val="0"/>
          <w:iCs w:val="0"/>
        </w:rPr>
        <w:t xml:space="preserve"> </w:t>
      </w:r>
      <w:r>
        <w:rPr>
          <w:rStyle w:val="CharStyle18"/>
          <w:i w:val="0"/>
          <w:iCs w:val="0"/>
        </w:rPr>
        <w:t>№</w:t>
        <w:tab/>
      </w:r>
      <w:r>
        <w:rPr>
          <w:rStyle w:val="CharStyle19"/>
          <w:i/>
          <w:iCs/>
        </w:rPr>
        <w:t>15</w:t>
        <w:tab/>
        <w:t>96/05</w:t>
      </w:r>
      <w:bookmarkEnd w:id="0"/>
    </w:p>
    <w:p>
      <w:pPr>
        <w:pStyle w:val="Style10"/>
        <w:tabs>
          <w:tab w:leader="none" w:pos="2372" w:val="right"/>
          <w:tab w:leader="none" w:pos="3020" w:val="left"/>
          <w:tab w:leader="underscore" w:pos="3567" w:val="left"/>
        </w:tabs>
        <w:widowControl w:val="0"/>
        <w:keepNext w:val="0"/>
        <w:keepLines w:val="0"/>
        <w:shd w:val="clear" w:color="auto" w:fill="auto"/>
        <w:bidi w:val="0"/>
        <w:jc w:val="both"/>
        <w:spacing w:before="0" w:after="0" w:line="160" w:lineRule="exact"/>
        <w:ind w:left="380" w:right="0" w:firstLine="0"/>
      </w:pPr>
      <w:r>
        <w:rPr>
          <w:rStyle w:val="CharStyle12"/>
        </w:rPr>
        <w:t>На №</w:t>
        <w:tab/>
        <w:t>от</w:t>
        <w:tab/>
        <w:tab/>
      </w:r>
    </w:p>
    <w:p>
      <w:pPr>
        <w:pStyle w:val="Style3"/>
        <w:widowControl w:val="0"/>
        <w:keepNext w:val="0"/>
        <w:keepLines w:val="0"/>
        <w:shd w:val="clear" w:color="auto" w:fill="auto"/>
        <w:bidi w:val="0"/>
        <w:spacing w:before="0" w:after="0" w:line="278" w:lineRule="exact"/>
        <w:ind w:left="0" w:right="20" w:firstLine="0"/>
      </w:pPr>
      <w:r>
        <w:rPr>
          <w:rStyle w:val="CharStyle5"/>
        </w:rPr>
        <w:t>Заказчику</w:t>
      </w:r>
      <w:r>
        <w:rPr>
          <w:lang w:val="ru-RU" w:eastAsia="ru-RU" w:bidi="ru-RU"/>
          <w:w w:val="100"/>
          <w:spacing w:val="0"/>
          <w:color w:val="000000"/>
          <w:position w:val="0"/>
        </w:rPr>
        <w:t>:</w:t>
      </w:r>
    </w:p>
    <w:p>
      <w:pPr>
        <w:pStyle w:val="Style3"/>
        <w:widowControl w:val="0"/>
        <w:keepNext w:val="0"/>
        <w:keepLines w:val="0"/>
        <w:shd w:val="clear" w:color="auto" w:fill="auto"/>
        <w:bidi w:val="0"/>
        <w:spacing w:before="0" w:after="0" w:line="278" w:lineRule="exact"/>
        <w:ind w:left="0" w:right="20" w:firstLine="0"/>
      </w:pPr>
      <w:r>
        <w:rPr>
          <w:lang w:val="ru-RU" w:eastAsia="ru-RU" w:bidi="ru-RU"/>
          <w:w w:val="100"/>
          <w:spacing w:val="0"/>
          <w:color w:val="000000"/>
          <w:position w:val="0"/>
        </w:rPr>
        <w:t>Бюджетное учреждение здравоохранения</w:t>
      </w:r>
    </w:p>
    <w:p>
      <w:pPr>
        <w:pStyle w:val="Style3"/>
        <w:widowControl w:val="0"/>
        <w:keepNext w:val="0"/>
        <w:keepLines w:val="0"/>
        <w:shd w:val="clear" w:color="auto" w:fill="auto"/>
        <w:bidi w:val="0"/>
        <w:spacing w:before="0" w:after="0" w:line="278" w:lineRule="exact"/>
        <w:ind w:left="0" w:right="20" w:firstLine="0"/>
      </w:pPr>
      <w:r>
        <w:rPr>
          <w:lang w:val="ru-RU" w:eastAsia="ru-RU" w:bidi="ru-RU"/>
          <w:w w:val="100"/>
          <w:spacing w:val="0"/>
          <w:color w:val="000000"/>
          <w:position w:val="0"/>
        </w:rPr>
        <w:t>Орловской области «Мценская центральная районная больница» 303030, Орловская область, г. Мценск, ул. 20 июля, 2</w:t>
      </w:r>
    </w:p>
    <w:p>
      <w:pPr>
        <w:pStyle w:val="Style3"/>
        <w:widowControl w:val="0"/>
        <w:keepNext w:val="0"/>
        <w:keepLines w:val="0"/>
        <w:shd w:val="clear" w:color="auto" w:fill="auto"/>
        <w:bidi w:val="0"/>
        <w:spacing w:before="0" w:after="248" w:line="278" w:lineRule="exact"/>
        <w:ind w:left="0" w:right="20" w:firstLine="0"/>
      </w:pPr>
      <w:r>
        <w:rPr>
          <w:lang w:val="en-US" w:eastAsia="en-US" w:bidi="en-US"/>
          <w:w w:val="100"/>
          <w:spacing w:val="0"/>
          <w:color w:val="000000"/>
          <w:position w:val="0"/>
        </w:rPr>
        <w:t xml:space="preserve">e-mail: </w:t>
      </w:r>
      <w:r>
        <w:fldChar w:fldCharType="begin"/>
      </w:r>
      <w:r>
        <w:rPr>
          <w:color w:val="000000"/>
        </w:rPr>
        <w:instrText> HYPERLINK "mailto:zakupki-mcrb@yandex.ru" </w:instrText>
      </w:r>
      <w:r>
        <w:fldChar w:fldCharType="separate"/>
      </w:r>
      <w:r>
        <w:rPr>
          <w:rStyle w:val="Hyperlink"/>
          <w:lang w:val="en-US" w:eastAsia="en-US" w:bidi="en-US"/>
          <w:w w:val="100"/>
          <w:spacing w:val="0"/>
          <w:position w:val="0"/>
        </w:rPr>
        <w:t>zakupki-mcrb@yandex.ru</w:t>
      </w:r>
      <w:r>
        <w:fldChar w:fldCharType="end"/>
      </w:r>
    </w:p>
    <w:p>
      <w:pPr>
        <w:pStyle w:val="Style3"/>
        <w:widowControl w:val="0"/>
        <w:keepNext w:val="0"/>
        <w:keepLines w:val="0"/>
        <w:shd w:val="clear" w:color="auto" w:fill="auto"/>
        <w:bidi w:val="0"/>
        <w:spacing w:before="0" w:after="236" w:line="269" w:lineRule="exact"/>
        <w:ind w:left="0" w:right="20" w:firstLine="0"/>
      </w:pPr>
      <w:r>
        <w:rPr>
          <w:rStyle w:val="CharStyle5"/>
        </w:rPr>
        <w:t>Уполномоченному органу:</w:t>
      </w:r>
      <w:r>
        <w:rPr>
          <w:lang w:val="ru-RU" w:eastAsia="ru-RU" w:bidi="ru-RU"/>
          <w:w w:val="100"/>
          <w:spacing w:val="0"/>
          <w:color w:val="000000"/>
          <w:position w:val="0"/>
        </w:rPr>
        <w:t xml:space="preserve"> Управление государственных закупок Орловской области 302028, г. Орёл, ул. Московская, д. 159 </w:t>
      </w:r>
      <w:r>
        <w:rPr>
          <w:lang w:val="en-US" w:eastAsia="en-US" w:bidi="en-US"/>
          <w:w w:val="100"/>
          <w:spacing w:val="0"/>
          <w:color w:val="000000"/>
          <w:position w:val="0"/>
        </w:rPr>
        <w:t xml:space="preserve">e-mail: </w:t>
      </w:r>
      <w:r>
        <w:fldChar w:fldCharType="begin"/>
      </w:r>
      <w:r>
        <w:rPr>
          <w:color w:val="000000"/>
        </w:rPr>
        <w:instrText> HYPERLINK "mailto:mirage@adm.orel.ru" </w:instrText>
      </w:r>
      <w:r>
        <w:fldChar w:fldCharType="separate"/>
      </w:r>
      <w:r>
        <w:rPr>
          <w:rStyle w:val="Hyperlink"/>
          <w:lang w:val="en-US" w:eastAsia="en-US" w:bidi="en-US"/>
          <w:w w:val="100"/>
          <w:spacing w:val="0"/>
          <w:position w:val="0"/>
        </w:rPr>
        <w:t>mirage@adm.orel.ru</w:t>
      </w:r>
      <w:r>
        <w:fldChar w:fldCharType="end"/>
      </w:r>
    </w:p>
    <w:p>
      <w:pPr>
        <w:pStyle w:val="Style3"/>
        <w:widowControl w:val="0"/>
        <w:keepNext w:val="0"/>
        <w:keepLines w:val="0"/>
        <w:shd w:val="clear" w:color="auto" w:fill="auto"/>
        <w:bidi w:val="0"/>
        <w:spacing w:before="0" w:after="283"/>
        <w:ind w:left="0" w:right="20" w:firstLine="0"/>
      </w:pPr>
      <w:r>
        <w:rPr>
          <w:rStyle w:val="CharStyle5"/>
        </w:rPr>
        <w:t>Оператору ЭТП</w:t>
      </w:r>
      <w:r>
        <w:rPr>
          <w:lang w:val="ru-RU" w:eastAsia="ru-RU" w:bidi="ru-RU"/>
          <w:w w:val="100"/>
          <w:spacing w:val="0"/>
          <w:color w:val="000000"/>
          <w:position w:val="0"/>
        </w:rPr>
        <w:t>: ООО «РТС-тендер»</w:t>
      </w:r>
    </w:p>
    <w:p>
      <w:pPr>
        <w:pStyle w:val="Style3"/>
        <w:widowControl w:val="0"/>
        <w:keepNext w:val="0"/>
        <w:keepLines w:val="0"/>
        <w:shd w:val="clear" w:color="auto" w:fill="auto"/>
        <w:bidi w:val="0"/>
        <w:spacing w:before="0" w:after="298" w:line="220" w:lineRule="exact"/>
        <w:ind w:left="0" w:right="20" w:firstLine="0"/>
      </w:pPr>
      <w:r>
        <w:rPr>
          <w:lang w:val="en-US" w:eastAsia="en-US" w:bidi="en-US"/>
          <w:w w:val="100"/>
          <w:spacing w:val="0"/>
          <w:color w:val="000000"/>
          <w:position w:val="0"/>
        </w:rPr>
        <w:t xml:space="preserve">e-mail: </w:t>
      </w:r>
      <w:r>
        <w:fldChar w:fldCharType="begin"/>
      </w:r>
      <w:r>
        <w:rPr>
          <w:color w:val="000000"/>
        </w:rPr>
        <w:instrText> HYPERLINK "mailto:info@rts-tender.ru" </w:instrText>
      </w:r>
      <w:r>
        <w:fldChar w:fldCharType="separate"/>
      </w:r>
      <w:r>
        <w:rPr>
          <w:rStyle w:val="Hyperlink"/>
          <w:lang w:val="en-US" w:eastAsia="en-US" w:bidi="en-US"/>
          <w:w w:val="100"/>
          <w:spacing w:val="0"/>
          <w:position w:val="0"/>
        </w:rPr>
        <w:t>info@rts-tender.ru</w:t>
      </w:r>
      <w:r>
        <w:fldChar w:fldCharType="end"/>
      </w:r>
    </w:p>
    <w:p>
      <w:pPr>
        <w:pStyle w:val="Style20"/>
        <w:widowControl w:val="0"/>
        <w:keepNext w:val="0"/>
        <w:keepLines w:val="0"/>
        <w:shd w:val="clear" w:color="auto" w:fill="auto"/>
        <w:bidi w:val="0"/>
        <w:spacing w:before="0" w:after="0" w:line="220" w:lineRule="exact"/>
        <w:ind w:left="0" w:right="20" w:firstLine="0"/>
        <w:sectPr>
          <w:type w:val="continuous"/>
          <w:pgSz w:w="11906" w:h="16838"/>
          <w:pgMar w:top="642" w:left="920" w:right="997" w:bottom="680" w:header="0" w:footer="3" w:gutter="0"/>
          <w:rtlGutter w:val="0"/>
          <w:cols w:num="2" w:space="720" w:equalWidth="0">
            <w:col w:w="4354" w:space="149"/>
            <w:col w:w="5486"/>
          </w:cols>
          <w:noEndnote/>
          <w:docGrid w:linePitch="360"/>
        </w:sectPr>
      </w:pPr>
      <w:r>
        <w:rPr>
          <w:lang w:val="ru-RU" w:eastAsia="ru-RU" w:bidi="ru-RU"/>
          <w:w w:val="100"/>
          <w:spacing w:val="0"/>
          <w:color w:val="000000"/>
          <w:position w:val="0"/>
        </w:rPr>
        <w:t>(Извещение № 0154200002717001778)</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3" w:after="1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8" w:line="220" w:lineRule="exact"/>
        <w:ind w:left="0" w:right="0" w:firstLine="0"/>
      </w:pPr>
      <w:r>
        <w:rPr>
          <w:rStyle w:val="CharStyle22"/>
        </w:rPr>
        <w:t>РЕШЕНИЕ</w:t>
      </w:r>
    </w:p>
    <w:p>
      <w:pPr>
        <w:pStyle w:val="Style3"/>
        <w:widowControl w:val="0"/>
        <w:keepNext w:val="0"/>
        <w:keepLines w:val="0"/>
        <w:shd w:val="clear" w:color="auto" w:fill="auto"/>
        <w:bidi w:val="0"/>
        <w:jc w:val="center"/>
        <w:spacing w:before="0" w:after="0" w:line="220" w:lineRule="exact"/>
        <w:ind w:left="0" w:right="0" w:firstLine="0"/>
        <w:sectPr>
          <w:type w:val="continuous"/>
          <w:pgSz w:w="11906" w:h="16838"/>
          <w:pgMar w:top="642" w:left="2951" w:right="1631" w:bottom="680" w:header="0" w:footer="3" w:gutter="0"/>
          <w:rtlGutter w:val="0"/>
          <w:cols w:space="720"/>
          <w:noEndnote/>
          <w:docGrid w:linePitch="360"/>
        </w:sectPr>
      </w:pPr>
      <w:r>
        <w:rPr>
          <w:lang w:val="ru-RU" w:eastAsia="ru-RU" w:bidi="ru-RU"/>
          <w:w w:val="100"/>
          <w:spacing w:val="0"/>
          <w:color w:val="000000"/>
          <w:position w:val="0"/>
        </w:rPr>
        <w:t>по делу № 473-17/03 ТЖ о нарушении законодательства о закупках</w:t>
      </w:r>
    </w:p>
    <w:p>
      <w:pPr>
        <w:widowControl w:val="0"/>
        <w:spacing w:before="42" w:after="4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11" w:vSpace="331" w:wrap="around" w:hAnchor="margin" w:x="8606" w:y="9352"/>
        <w:widowControl w:val="0"/>
        <w:keepNext w:val="0"/>
        <w:keepLines w:val="0"/>
        <w:shd w:val="clear" w:color="auto" w:fill="auto"/>
        <w:bidi w:val="0"/>
        <w:jc w:val="left"/>
        <w:spacing w:before="0" w:after="0" w:line="200" w:lineRule="exact"/>
        <w:ind w:left="100" w:right="0" w:firstLine="0"/>
      </w:pPr>
      <w:r>
        <w:rPr>
          <w:rStyle w:val="CharStyle23"/>
          <w:spacing w:val="0"/>
        </w:rPr>
        <w:t>г. Орёл</w:t>
      </w:r>
    </w:p>
    <w:p>
      <w:pPr>
        <w:pStyle w:val="Style3"/>
        <w:widowControl w:val="0"/>
        <w:keepNext w:val="0"/>
        <w:keepLines w:val="0"/>
        <w:shd w:val="clear" w:color="auto" w:fill="auto"/>
        <w:bidi w:val="0"/>
        <w:jc w:val="left"/>
        <w:spacing w:before="0" w:after="209" w:line="220" w:lineRule="exact"/>
        <w:ind w:left="0" w:right="0" w:firstLine="0"/>
      </w:pPr>
      <w:r>
        <w:rPr>
          <w:lang w:val="ru-RU" w:eastAsia="ru-RU" w:bidi="ru-RU"/>
          <w:w w:val="100"/>
          <w:spacing w:val="0"/>
          <w:color w:val="000000"/>
          <w:position w:val="0"/>
        </w:rPr>
        <w:t>02 ноября 2017 года</w:t>
      </w:r>
    </w:p>
    <w:p>
      <w:pPr>
        <w:pStyle w:val="Style3"/>
        <w:tabs>
          <w:tab w:leader="none" w:pos="1342" w:val="left"/>
        </w:tabs>
        <w:widowControl w:val="0"/>
        <w:keepNext w:val="0"/>
        <w:keepLines w:val="0"/>
        <w:shd w:val="clear" w:color="auto" w:fill="auto"/>
        <w:bidi w:val="0"/>
        <w:jc w:val="both"/>
        <w:spacing w:before="0" w:after="0" w:line="269" w:lineRule="exact"/>
        <w:ind w:left="300" w:right="20" w:firstLine="700"/>
      </w:pPr>
      <w:r>
        <w:rPr>
          <w:lang w:val="ru-RU" w:eastAsia="ru-RU" w:bidi="ru-RU"/>
          <w:w w:val="100"/>
          <w:spacing w:val="0"/>
          <w:color w:val="000000"/>
          <w:position w:val="0"/>
        </w:rPr>
        <w:t>Комиссия Орловского У ФАС России по контролю закупок (далее - Комиссия) в составе:</w:t>
        <w:tab/>
        <w:t>председателя Комиссии Солдатенковой И.В., заместителя руководителя -</w:t>
      </w:r>
    </w:p>
    <w:p>
      <w:pPr>
        <w:pStyle w:val="Style3"/>
        <w:widowControl w:val="0"/>
        <w:keepNext w:val="0"/>
        <w:keepLines w:val="0"/>
        <w:shd w:val="clear" w:color="auto" w:fill="auto"/>
        <w:bidi w:val="0"/>
        <w:jc w:val="both"/>
        <w:spacing w:before="0" w:after="0" w:line="269" w:lineRule="exact"/>
        <w:ind w:left="300" w:right="20" w:firstLine="0"/>
      </w:pPr>
      <w:r>
        <w:rPr>
          <w:lang w:val="ru-RU" w:eastAsia="ru-RU" w:bidi="ru-RU"/>
          <w:w w:val="100"/>
          <w:spacing w:val="0"/>
          <w:color w:val="000000"/>
          <w:position w:val="0"/>
        </w:rPr>
        <w:t>начальника отдела контроля закупок и антимонопольного контроля органов власти; членов Комиссии: Бочкова С.А., главного государственного инспектора отдела контроля закупок и антимонопольного контроля органов власти, Погодиной Е.Ю., главного специалиста- эксперта отдела контроля закупок и антимонопольного контроля органов власти, Лебедева М.А., ведущего специалиста-эксперта отдела контроля закупок и антимонопольного контроля органов власти,</w:t>
      </w:r>
    </w:p>
    <w:p>
      <w:pPr>
        <w:pStyle w:val="Style3"/>
        <w:widowControl w:val="0"/>
        <w:keepNext w:val="0"/>
        <w:keepLines w:val="0"/>
        <w:shd w:val="clear" w:color="auto" w:fill="auto"/>
        <w:bidi w:val="0"/>
        <w:jc w:val="both"/>
        <w:spacing w:before="0" w:after="0" w:line="269" w:lineRule="exact"/>
        <w:ind w:left="300" w:right="20" w:firstLine="700"/>
      </w:pPr>
      <w:r>
        <w:rPr>
          <w:lang w:val="ru-RU" w:eastAsia="ru-RU" w:bidi="ru-RU"/>
          <w:w w:val="100"/>
          <w:spacing w:val="0"/>
          <w:color w:val="000000"/>
          <w:position w:val="0"/>
        </w:rPr>
        <w:t>в присутствии представителей: БУЗ ОО «Мценская ЦРБ» (далее - Заказчик) - Никишовой С.А, Несытых К.А.; Управления государственных закупок Орловской области (далее - Уполномоченный орган) - Трошиной И.II.; ООО «Торговая компания Нотлекс» (далее - Заявитель) Жукова Е.К., Кузяшина А.В.,</w:t>
      </w:r>
    </w:p>
    <w:p>
      <w:pPr>
        <w:pStyle w:val="Style24"/>
        <w:framePr w:h="300" w:wrap="around" w:vAnchor="text" w:hAnchor="margin" w:x="8198" w:y="1940"/>
        <w:tabs>
          <w:tab w:leader="none" w:pos="1799" w:val="right"/>
        </w:tabs>
        <w:widowControl w:val="0"/>
        <w:keepNext w:val="0"/>
        <w:keepLines w:val="0"/>
        <w:shd w:val="clear" w:color="auto" w:fill="auto"/>
        <w:bidi w:val="0"/>
        <w:spacing w:before="0" w:after="0" w:line="300" w:lineRule="exact"/>
        <w:ind w:left="100" w:right="0" w:firstLine="0"/>
      </w:pPr>
      <w:r>
        <w:rPr>
          <w:lang w:val="ru-RU" w:eastAsia="ru-RU" w:bidi="ru-RU"/>
          <w:w w:val="100"/>
          <w:spacing w:val="20"/>
          <w:color w:val="000000"/>
          <w:position w:val="0"/>
        </w:rPr>
        <w:t>015381</w:t>
      </w:r>
      <w:r>
        <w:rPr>
          <w:rStyle w:val="CharStyle26"/>
          <w:lang w:val="ru-RU" w:eastAsia="ru-RU" w:bidi="ru-RU"/>
        </w:rPr>
        <w:tab/>
      </w:r>
      <w:r>
        <w:rPr>
          <w:rStyle w:val="CharStyle27"/>
        </w:rPr>
        <w:t>#</w:t>
      </w:r>
    </w:p>
    <w:p>
      <w:pPr>
        <w:pStyle w:val="Style3"/>
        <w:widowControl w:val="0"/>
        <w:keepNext w:val="0"/>
        <w:keepLines w:val="0"/>
        <w:shd w:val="clear" w:color="auto" w:fill="auto"/>
        <w:bidi w:val="0"/>
        <w:jc w:val="both"/>
        <w:spacing w:before="0" w:after="563" w:line="269" w:lineRule="exact"/>
        <w:ind w:left="300" w:right="20" w:firstLine="700"/>
      </w:pPr>
      <w:r>
        <w:rPr>
          <w:lang w:val="ru-RU" w:eastAsia="ru-RU" w:bidi="ru-RU"/>
          <w:w w:val="100"/>
          <w:spacing w:val="0"/>
          <w:color w:val="000000"/>
          <w:position w:val="0"/>
        </w:rPr>
        <w:t>рассмотрев жалобу ООО «Торговая компания Нотлекс» на действия Заказчика при разработке документации об аукционе «Закупка медицинского оборудования: аппарат ИВЛ», извещение № 0154200002717001778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w:t>
      </w:r>
    </w:p>
    <w:p>
      <w:pPr>
        <w:pStyle w:val="Style28"/>
        <w:widowControl w:val="0"/>
        <w:keepNext w:val="0"/>
        <w:keepLines w:val="0"/>
        <w:shd w:val="clear" w:color="auto" w:fill="auto"/>
        <w:bidi w:val="0"/>
        <w:jc w:val="left"/>
        <w:spacing w:before="0" w:after="0" w:line="90" w:lineRule="exact"/>
        <w:ind w:left="0" w:right="0" w:firstLine="0"/>
      </w:pPr>
      <w:r>
        <w:rPr>
          <w:rStyle w:val="CharStyle30"/>
        </w:rPr>
        <w:t xml:space="preserve">АО «Типография «Груд». ИНН 5753034600. Орел, Ленива, 1 Заказ </w:t>
      </w:r>
      <w:r>
        <w:rPr>
          <w:rStyle w:val="CharStyle30"/>
          <w:lang w:val="en-US" w:eastAsia="en-US" w:bidi="en-US"/>
        </w:rPr>
        <w:t xml:space="preserve">W» </w:t>
      </w:r>
      <w:r>
        <w:rPr>
          <w:rStyle w:val="CharStyle30"/>
        </w:rPr>
        <w:t>154-2017 Тираж 3000 эп</w:t>
      </w:r>
      <w:r>
        <w:br w:type="page"/>
      </w:r>
    </w:p>
    <w:p>
      <w:pPr>
        <w:pStyle w:val="Style3"/>
        <w:widowControl w:val="0"/>
        <w:keepNext w:val="0"/>
        <w:keepLines w:val="0"/>
        <w:shd w:val="clear" w:color="auto" w:fill="auto"/>
        <w:bidi w:val="0"/>
        <w:jc w:val="both"/>
        <w:spacing w:before="0" w:after="0"/>
        <w:ind w:left="20" w:right="40" w:firstLine="0"/>
      </w:pPr>
      <w:r>
        <w:rPr>
          <w:lang w:val="ru-RU" w:eastAsia="ru-RU" w:bidi="ru-RU"/>
          <w:w w:val="100"/>
          <w:spacing w:val="0"/>
          <w:color w:val="000000"/>
          <w:position w:val="0"/>
        </w:rPr>
        <w:t>Закон), и в результате осуществления внеплановой проверки в соответствии с пунктом 1 части 15 статьи 99 Закона,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3"/>
        <w:widowControl w:val="0"/>
        <w:keepNext w:val="0"/>
        <w:keepLines w:val="0"/>
        <w:shd w:val="clear" w:color="auto" w:fill="auto"/>
        <w:bidi w:val="0"/>
        <w:jc w:val="left"/>
        <w:spacing w:before="0" w:after="240"/>
        <w:ind w:left="4060" w:right="0" w:firstLine="0"/>
      </w:pPr>
      <w:r>
        <w:rPr>
          <w:rStyle w:val="CharStyle22"/>
        </w:rPr>
        <w:t>УСТАНОВИЛА:</w:t>
      </w:r>
    </w:p>
    <w:p>
      <w:pPr>
        <w:pStyle w:val="Style3"/>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В жалобе Заявитель указал, что документация об Аукционе не соответствует требованиям Закона:</w:t>
      </w:r>
    </w:p>
    <w:p>
      <w:pPr>
        <w:pStyle w:val="Style3"/>
        <w:numPr>
          <w:ilvl w:val="0"/>
          <w:numId w:val="1"/>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Закупка проведена без использования ГОСТ 55954-2014;</w:t>
      </w:r>
    </w:p>
    <w:p>
      <w:pPr>
        <w:pStyle w:val="Style3"/>
        <w:numPr>
          <w:ilvl w:val="0"/>
          <w:numId w:val="1"/>
        </w:numPr>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 xml:space="preserve"> Техническое задание документации об Аукционе не содержит общепринятых названий и обозначений.</w:t>
      </w:r>
    </w:p>
    <w:p>
      <w:pPr>
        <w:pStyle w:val="Style3"/>
        <w:widowControl w:val="0"/>
        <w:keepNext w:val="0"/>
        <w:keepLines w:val="0"/>
        <w:shd w:val="clear" w:color="auto" w:fill="auto"/>
        <w:bidi w:val="0"/>
        <w:jc w:val="both"/>
        <w:spacing w:before="0" w:after="0"/>
        <w:ind w:left="20" w:right="40" w:firstLine="540"/>
      </w:pPr>
      <w:r>
        <w:rPr>
          <w:lang w:val="ru-RU" w:eastAsia="ru-RU" w:bidi="ru-RU"/>
          <w:w w:val="100"/>
          <w:spacing w:val="0"/>
          <w:color w:val="000000"/>
          <w:position w:val="0"/>
        </w:rPr>
        <w:t>Представители Уполномоченного органа и Заказчика считают жалобу необоснованной; ГОСТ 55954-2014 распространяется только на торги по закупкам высокотехнологичного медицинского оборудования для оказания высокотехнологичной медицинской помощи, а БУЗ 00 «Мценская ЦРБ» не оказывает высокотехнологичной медицинской помощи.</w:t>
      </w:r>
    </w:p>
    <w:p>
      <w:pPr>
        <w:pStyle w:val="Style3"/>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В результате рассмотрения жалобы Комиссия установила следующее.</w:t>
      </w:r>
    </w:p>
    <w:p>
      <w:pPr>
        <w:pStyle w:val="Style3"/>
        <w:numPr>
          <w:ilvl w:val="0"/>
          <w:numId w:val="3"/>
        </w:numPr>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 xml:space="preserve"> 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3"/>
        <w:numPr>
          <w:ilvl w:val="0"/>
          <w:numId w:val="5"/>
        </w:numPr>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 xml:space="preserve"> извещение об осуществлении закупки размещено в единой информационной системе </w:t>
      </w:r>
      <w:r>
        <w:rPr>
          <w:lang w:val="en-US" w:eastAsia="en-US" w:bidi="en-US"/>
          <w:w w:val="100"/>
          <w:spacing w:val="0"/>
          <w:color w:val="000000"/>
          <w:position w:val="0"/>
        </w:rPr>
        <w:t xml:space="preserve">zakupki.gov.ru </w:t>
      </w:r>
      <w:r>
        <w:rPr>
          <w:lang w:val="ru-RU" w:eastAsia="ru-RU" w:bidi="ru-RU"/>
          <w:w w:val="100"/>
          <w:spacing w:val="0"/>
          <w:color w:val="000000"/>
          <w:position w:val="0"/>
        </w:rPr>
        <w:t>- 11.10.2017;</w:t>
      </w:r>
    </w:p>
    <w:p>
      <w:pPr>
        <w:pStyle w:val="Style3"/>
        <w:numPr>
          <w:ilvl w:val="0"/>
          <w:numId w:val="5"/>
        </w:numPr>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3"/>
        <w:numPr>
          <w:ilvl w:val="0"/>
          <w:numId w:val="5"/>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начальная (максимальная) цена контракта - 4 350 000,00 рубль;</w:t>
      </w:r>
    </w:p>
    <w:p>
      <w:pPr>
        <w:pStyle w:val="Style3"/>
        <w:numPr>
          <w:ilvl w:val="0"/>
          <w:numId w:val="5"/>
        </w:numPr>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 xml:space="preserve"> на участие в Аукционе подано две заявки, одна заявка допущена к участию в Аукционе;</w:t>
      </w:r>
    </w:p>
    <w:p>
      <w:pPr>
        <w:pStyle w:val="Style3"/>
        <w:numPr>
          <w:ilvl w:val="0"/>
          <w:numId w:val="5"/>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дата окончания срока рассмотрения первых частей заявок участников - 31.10.2017;</w:t>
      </w:r>
    </w:p>
    <w:p>
      <w:pPr>
        <w:pStyle w:val="Style3"/>
        <w:numPr>
          <w:ilvl w:val="0"/>
          <w:numId w:val="5"/>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дата проведения аукциона - 03.11.2017.</w:t>
      </w:r>
    </w:p>
    <w:p>
      <w:pPr>
        <w:pStyle w:val="Style3"/>
        <w:numPr>
          <w:ilvl w:val="0"/>
          <w:numId w:val="3"/>
        </w:numPr>
        <w:widowControl w:val="0"/>
        <w:keepNext w:val="0"/>
        <w:keepLines w:val="0"/>
        <w:shd w:val="clear" w:color="auto" w:fill="auto"/>
        <w:bidi w:val="0"/>
        <w:jc w:val="both"/>
        <w:spacing w:before="0" w:after="0"/>
        <w:ind w:left="20" w:right="0" w:firstLine="700"/>
      </w:pPr>
      <w:r>
        <w:rPr>
          <w:lang w:val="ru-RU" w:eastAsia="ru-RU" w:bidi="ru-RU"/>
          <w:w w:val="100"/>
          <w:spacing w:val="0"/>
          <w:color w:val="000000"/>
          <w:position w:val="0"/>
        </w:rPr>
        <w:t xml:space="preserve"> По доводам, изложенным в жалобе:</w:t>
      </w:r>
    </w:p>
    <w:p>
      <w:pPr>
        <w:pStyle w:val="Style3"/>
        <w:numPr>
          <w:ilvl w:val="1"/>
          <w:numId w:val="3"/>
        </w:numPr>
        <w:tabs>
          <w:tab w:leader="none" w:pos="3073" w:val="left"/>
          <w:tab w:leader="none" w:pos="1182" w:val="left"/>
        </w:tabs>
        <w:widowControl w:val="0"/>
        <w:keepNext w:val="0"/>
        <w:keepLines w:val="0"/>
        <w:shd w:val="clear" w:color="auto" w:fill="auto"/>
        <w:bidi w:val="0"/>
        <w:jc w:val="both"/>
        <w:spacing w:before="0" w:after="0"/>
        <w:ind w:left="20" w:right="40" w:firstLine="700"/>
      </w:pPr>
      <w:r>
        <w:rPr>
          <w:lang w:val="ru-RU" w:eastAsia="ru-RU" w:bidi="ru-RU"/>
          <w:w w:val="100"/>
          <w:spacing w:val="0"/>
          <w:color w:val="000000"/>
          <w:position w:val="0"/>
        </w:rPr>
        <w:t>Пунктом 2 части 1 статьи 33 Закона установлено, что Заказчик при описании в документации о закупке объекта закупки должен руководствоваться, в том числе следующими правилами:</w:t>
        <w:tab/>
        <w:t>использование при составлении описания объекта закупки</w:t>
      </w:r>
    </w:p>
    <w:p>
      <w:pPr>
        <w:pStyle w:val="Style3"/>
        <w:widowControl w:val="0"/>
        <w:keepNext w:val="0"/>
        <w:keepLines w:val="0"/>
        <w:shd w:val="clear" w:color="auto" w:fill="auto"/>
        <w:bidi w:val="0"/>
        <w:jc w:val="both"/>
        <w:spacing w:before="0" w:after="0"/>
        <w:ind w:left="20" w:right="40" w:firstLine="0"/>
      </w:pPr>
      <w:r>
        <w:rPr>
          <w:lang w:val="ru-RU" w:eastAsia="ru-RU" w:bidi="ru-RU"/>
          <w:w w:val="100"/>
          <w:spacing w:val="0"/>
          <w:color w:val="000000"/>
          <w:position w:val="0"/>
        </w:rPr>
        <w:t>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3"/>
        <w:widowControl w:val="0"/>
        <w:keepNext w:val="0"/>
        <w:keepLines w:val="0"/>
        <w:shd w:val="clear" w:color="auto" w:fill="auto"/>
        <w:bidi w:val="0"/>
        <w:jc w:val="both"/>
        <w:spacing w:before="0" w:after="252"/>
        <w:ind w:left="20" w:right="40" w:firstLine="540"/>
      </w:pPr>
      <w:r>
        <w:rPr>
          <w:lang w:val="ru-RU" w:eastAsia="ru-RU" w:bidi="ru-RU"/>
          <w:w w:val="100"/>
          <w:spacing w:val="0"/>
          <w:color w:val="000000"/>
          <w:position w:val="0"/>
        </w:rPr>
        <w:t>Частью 5 статьи 33 Закона предусмотрено, что особенности описания отдельных видов объектов закупок могут устанавливаться Правительством Российской Федерации.</w:t>
      </w:r>
    </w:p>
    <w:p>
      <w:pPr>
        <w:pStyle w:val="Style3"/>
        <w:widowControl w:val="0"/>
        <w:keepNext w:val="0"/>
        <w:keepLines w:val="0"/>
        <w:shd w:val="clear" w:color="auto" w:fill="auto"/>
        <w:bidi w:val="0"/>
        <w:jc w:val="both"/>
        <w:spacing w:before="0" w:after="0" w:line="259" w:lineRule="exact"/>
        <w:ind w:left="20" w:right="40" w:firstLine="540"/>
      </w:pPr>
      <w:r>
        <w:rPr>
          <w:lang w:val="ru-RU" w:eastAsia="ru-RU" w:bidi="ru-RU"/>
          <w:w w:val="100"/>
          <w:spacing w:val="0"/>
          <w:color w:val="000000"/>
          <w:position w:val="0"/>
        </w:rPr>
        <w:t>ГОСТ Р 55954-2014 «Национальный стандарт Российской Федерации. Изделия медицинские электрические. Аппараты искусственной вентиляции легких. Технические требования для государственных закупок» (далее - ГОСТ Р 55954-2014) распространяется на торги по государственным закупкам высокотехнологичного медицинского оборудования (ВМО) для оказания высокотехнологичной медицинской помощи согласно абзацу 2 раздела 1 ГОСТ Р 55954-2014.</w:t>
      </w:r>
    </w:p>
    <w:p>
      <w:pPr>
        <w:pStyle w:val="Style3"/>
        <w:widowControl w:val="0"/>
        <w:keepNext w:val="0"/>
        <w:keepLines w:val="0"/>
        <w:shd w:val="clear" w:color="auto" w:fill="auto"/>
        <w:bidi w:val="0"/>
        <w:jc w:val="both"/>
        <w:spacing w:before="0" w:after="0"/>
        <w:ind w:left="40" w:right="20" w:firstLine="540"/>
      </w:pPr>
      <w:r>
        <w:rPr>
          <w:lang w:val="ru-RU" w:eastAsia="ru-RU" w:bidi="ru-RU"/>
          <w:w w:val="100"/>
          <w:spacing w:val="0"/>
          <w:color w:val="000000"/>
          <w:position w:val="0"/>
        </w:rPr>
        <w:t>Согласно части 3 статьи 34 Федерального закона от 21.11.2011 №323-Ф3 «Об основах охраны здоровья граждан в Российской Федерации» 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pPr>
        <w:pStyle w:val="Style3"/>
        <w:tabs>
          <w:tab w:leader="none" w:pos="1931" w:val="left"/>
          <w:tab w:leader="none" w:pos="2469" w:val="left"/>
        </w:tabs>
        <w:widowControl w:val="0"/>
        <w:keepNext w:val="0"/>
        <w:keepLines w:val="0"/>
        <w:shd w:val="clear" w:color="auto" w:fill="auto"/>
        <w:bidi w:val="0"/>
        <w:jc w:val="both"/>
        <w:spacing w:before="0" w:after="0"/>
        <w:ind w:left="40" w:right="20" w:firstLine="540"/>
      </w:pPr>
      <w:r>
        <w:rPr>
          <w:lang w:val="ru-RU" w:eastAsia="ru-RU" w:bidi="ru-RU"/>
          <w:w w:val="100"/>
          <w:spacing w:val="0"/>
          <w:color w:val="000000"/>
          <w:position w:val="0"/>
        </w:rPr>
        <w:t>Положением об организации оказания специализированной, в том числе высокотехнологичной, медицинской помощи, утвержденного Приказом Минздрава России от 02.12.2014</w:t>
        <w:tab/>
        <w:t>№</w:t>
        <w:tab/>
        <w:t>796н установлено, что специализированная, в том числе</w:t>
      </w:r>
    </w:p>
    <w:p>
      <w:pPr>
        <w:pStyle w:val="Style3"/>
        <w:widowControl w:val="0"/>
        <w:keepNext w:val="0"/>
        <w:keepLines w:val="0"/>
        <w:shd w:val="clear" w:color="auto" w:fill="auto"/>
        <w:bidi w:val="0"/>
        <w:jc w:val="both"/>
        <w:spacing w:before="0" w:after="0"/>
        <w:ind w:left="40" w:right="20" w:firstLine="0"/>
      </w:pPr>
      <w:r>
        <w:rPr>
          <w:lang w:val="ru-RU" w:eastAsia="ru-RU" w:bidi="ru-RU"/>
          <w:w w:val="100"/>
          <w:spacing w:val="0"/>
          <w:color w:val="000000"/>
          <w:position w:val="0"/>
        </w:rPr>
        <w:t>высокотехнологичная, медицинская помощь оказывается в медицинских организациях государственной, муниципальной (в случае передачи органами государственной власти субъектов Российской Федерации в сфере охраны здоровья полномочий по организации оказания специализированной медицинской помощи органам местного самоуправления) и частной систем здравоохранения, имеющих лицензию на медицинскую деятельность, полученную в порядке, установленном законодательством Российской Федерации.</w:t>
      </w:r>
    </w:p>
    <w:p>
      <w:pPr>
        <w:pStyle w:val="Style3"/>
        <w:widowControl w:val="0"/>
        <w:keepNext w:val="0"/>
        <w:keepLines w:val="0"/>
        <w:shd w:val="clear" w:color="auto" w:fill="auto"/>
        <w:bidi w:val="0"/>
        <w:jc w:val="both"/>
        <w:spacing w:before="0" w:after="0"/>
        <w:ind w:left="40" w:right="20" w:firstLine="540"/>
      </w:pPr>
      <w:r>
        <w:rPr>
          <w:lang w:val="ru-RU" w:eastAsia="ru-RU" w:bidi="ru-RU"/>
          <w:w w:val="100"/>
          <w:spacing w:val="0"/>
          <w:color w:val="000000"/>
          <w:position w:val="0"/>
        </w:rPr>
        <w:t xml:space="preserve">Согласно данным единого государственного реестра юридических лиц, размешенного </w:t>
      </w:r>
      <w:r>
        <w:fldChar w:fldCharType="begin"/>
      </w:r>
      <w:r>
        <w:rPr>
          <w:rStyle w:val="CharStyle5"/>
        </w:rPr>
        <w:instrText> HYPERLINK "https://egrul.nalog.ru/" </w:instrText>
      </w:r>
      <w:r>
        <w:fldChar w:fldCharType="separate"/>
      </w:r>
      <w:r>
        <w:rPr>
          <w:rStyle w:val="Hyperlink"/>
          <w:lang w:val="en-US" w:eastAsia="en-US" w:bidi="en-US"/>
        </w:rPr>
        <w:t>https://egrul.nalog.ru/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Заказчик имеет лицензию </w:t>
      </w:r>
      <w:r>
        <w:rPr>
          <w:lang w:val="en-US" w:eastAsia="en-US" w:bidi="en-US"/>
          <w:w w:val="100"/>
          <w:spacing w:val="0"/>
          <w:color w:val="000000"/>
          <w:position w:val="0"/>
        </w:rPr>
        <w:t>№JIO-57-0</w:t>
      </w:r>
      <w:r>
        <w:rPr>
          <w:lang w:val="ru-RU" w:eastAsia="ru-RU" w:bidi="ru-RU"/>
          <w:w w:val="100"/>
          <w:spacing w:val="0"/>
          <w:color w:val="000000"/>
          <w:position w:val="0"/>
        </w:rPr>
        <w:t>1-000320 от 25.04.2011 на медицинскую деятельность, осуществляемой организациями государственной системы здравоохранения, а также медицинской деятельности, осуществляемой организациями муниципальной и частной систем здравоохранения по оказанию высокотехнологичной медицинской помощи.</w:t>
      </w:r>
    </w:p>
    <w:p>
      <w:pPr>
        <w:pStyle w:val="Style3"/>
        <w:widowControl w:val="0"/>
        <w:keepNext w:val="0"/>
        <w:keepLines w:val="0"/>
        <w:shd w:val="clear" w:color="auto" w:fill="auto"/>
        <w:bidi w:val="0"/>
        <w:jc w:val="both"/>
        <w:spacing w:before="0" w:after="0"/>
        <w:ind w:left="40" w:right="20" w:firstLine="540"/>
      </w:pPr>
      <w:r>
        <w:rPr>
          <w:lang w:val="ru-RU" w:eastAsia="ru-RU" w:bidi="ru-RU"/>
          <w:w w:val="100"/>
          <w:spacing w:val="0"/>
          <w:color w:val="000000"/>
          <w:position w:val="0"/>
        </w:rPr>
        <w:t>Постановлением Правительства Российской Федерации от 19.12.2016 № 1403 «О Программе государственных гарантий бесплатного оказания гражданам медицинской помощи на 2017 год и на плановый период 2018 и 2019 годов» утвержден Перечень видов высокотехнологичной медицинской помощи, содержащий в том числе методы лечения и источники финансового обеспечения высокотехнологичной медицинской помощи (далее - Перечень).</w:t>
      </w:r>
    </w:p>
    <w:p>
      <w:pPr>
        <w:pStyle w:val="Style3"/>
        <w:widowControl w:val="0"/>
        <w:keepNext w:val="0"/>
        <w:keepLines w:val="0"/>
        <w:shd w:val="clear" w:color="auto" w:fill="auto"/>
        <w:bidi w:val="0"/>
        <w:jc w:val="both"/>
        <w:spacing w:before="0" w:after="0"/>
        <w:ind w:left="40" w:right="20" w:firstLine="540"/>
      </w:pPr>
      <w:r>
        <w:rPr>
          <w:lang w:val="ru-RU" w:eastAsia="ru-RU" w:bidi="ru-RU"/>
          <w:w w:val="100"/>
          <w:spacing w:val="0"/>
          <w:color w:val="000000"/>
          <w:position w:val="0"/>
        </w:rPr>
        <w:t>Пунктом 15 Перечня установлен вид высокотехнологичной медицинской помощи: Выхаживание новорожденных с массой тела до 1500 г, включая детей с экстремально низкой массой тела при рождении, с созданием оптимальных контролируемых параметров поддержки витальных функций и щадяще-развивающих условий внешней среды под контролем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 для которого предусмотрен метод лечения: неинвазивная принудительная вентиляция легких.</w:t>
      </w:r>
    </w:p>
    <w:p>
      <w:pPr>
        <w:pStyle w:val="Style3"/>
        <w:widowControl w:val="0"/>
        <w:keepNext w:val="0"/>
        <w:keepLines w:val="0"/>
        <w:shd w:val="clear" w:color="auto" w:fill="auto"/>
        <w:bidi w:val="0"/>
        <w:jc w:val="both"/>
        <w:spacing w:before="0" w:after="0"/>
        <w:ind w:left="40" w:right="0" w:firstLine="540"/>
      </w:pPr>
      <w:r>
        <w:rPr>
          <w:lang w:val="ru-RU" w:eastAsia="ru-RU" w:bidi="ru-RU"/>
          <w:w w:val="100"/>
          <w:spacing w:val="0"/>
          <w:color w:val="000000"/>
          <w:position w:val="0"/>
        </w:rPr>
        <w:t>Объектом закупки является закупка аппарата ИВЛ.</w:t>
      </w:r>
    </w:p>
    <w:p>
      <w:pPr>
        <w:pStyle w:val="Style3"/>
        <w:widowControl w:val="0"/>
        <w:keepNext w:val="0"/>
        <w:keepLines w:val="0"/>
        <w:shd w:val="clear" w:color="auto" w:fill="auto"/>
        <w:bidi w:val="0"/>
        <w:jc w:val="both"/>
        <w:spacing w:before="0" w:after="0"/>
        <w:ind w:left="40" w:right="20" w:firstLine="540"/>
      </w:pPr>
      <w:r>
        <w:rPr>
          <w:lang w:val="ru-RU" w:eastAsia="ru-RU" w:bidi="ru-RU"/>
          <w:w w:val="100"/>
          <w:spacing w:val="0"/>
          <w:color w:val="000000"/>
          <w:position w:val="0"/>
        </w:rPr>
        <w:t>Согласно пункта 3.2 ГОСТ Р 55954-2014 аппарат искусственной вентиляции легких (ИВЛ) - это аппарат, предназначенный для автоматического дополнения или полного обеспечения вентиляции легких пациента при подсоединении воздуховода к пациенту.</w:t>
      </w:r>
    </w:p>
    <w:p>
      <w:pPr>
        <w:pStyle w:val="Style3"/>
        <w:widowControl w:val="0"/>
        <w:keepNext w:val="0"/>
        <w:keepLines w:val="0"/>
        <w:shd w:val="clear" w:color="auto" w:fill="auto"/>
        <w:bidi w:val="0"/>
        <w:jc w:val="both"/>
        <w:spacing w:before="0" w:after="0"/>
        <w:ind w:left="40" w:right="20" w:firstLine="540"/>
        <w:sectPr>
          <w:type w:val="continuous"/>
          <w:pgSz w:w="11906" w:h="16838"/>
          <w:pgMar w:top="1041" w:left="1030" w:right="977" w:bottom="1079" w:header="0" w:footer="3" w:gutter="0"/>
          <w:rtlGutter w:val="0"/>
          <w:cols w:space="720"/>
          <w:noEndnote/>
          <w:docGrid w:linePitch="360"/>
        </w:sectPr>
      </w:pPr>
      <w:r>
        <w:rPr>
          <w:lang w:val="ru-RU" w:eastAsia="ru-RU" w:bidi="ru-RU"/>
          <w:w w:val="100"/>
          <w:spacing w:val="0"/>
          <w:color w:val="000000"/>
          <w:position w:val="0"/>
        </w:rPr>
        <w:t>Пунктом 3.1 ГОСТ Р 55719-2013 «Национальный стандарт Российской Федерации. Изделия медицинские электрические. Требования к содержанию и оформлению технических заданий для конкурсной документации при проведении государственных закупок высокотехнологичного медицинского оборудования» установлено, что</w:t>
      </w:r>
    </w:p>
    <w:p>
      <w:pPr>
        <w:pStyle w:val="Style3"/>
        <w:widowControl w:val="0"/>
        <w:keepNext w:val="0"/>
        <w:keepLines w:val="0"/>
        <w:shd w:val="clear" w:color="auto" w:fill="auto"/>
        <w:bidi w:val="0"/>
        <w:jc w:val="both"/>
        <w:spacing w:before="0" w:after="0" w:line="269" w:lineRule="exact"/>
        <w:ind w:left="400" w:right="400" w:firstLine="0"/>
      </w:pPr>
      <w:r>
        <w:rPr>
          <w:lang w:val="ru-RU" w:eastAsia="ru-RU" w:bidi="ru-RU"/>
          <w:w w:val="100"/>
          <w:spacing w:val="0"/>
          <w:color w:val="000000"/>
          <w:position w:val="0"/>
        </w:rPr>
        <w:t>высокотехнологичного медицинского оборудования» установлено, что высокотехнологическое медицинское оборудование медицинское оборудование, специально предназначенное для оказания высокотехнологической медицинской помощи.</w:t>
      </w:r>
    </w:p>
    <w:p>
      <w:pPr>
        <w:pStyle w:val="Style3"/>
        <w:widowControl w:val="0"/>
        <w:keepNext w:val="0"/>
        <w:keepLines w:val="0"/>
        <w:shd w:val="clear" w:color="auto" w:fill="auto"/>
        <w:bidi w:val="0"/>
        <w:jc w:val="both"/>
        <w:spacing w:before="0" w:after="0" w:line="269" w:lineRule="exact"/>
        <w:ind w:left="400" w:right="400" w:firstLine="520"/>
      </w:pPr>
      <w:r>
        <w:rPr>
          <w:lang w:val="ru-RU" w:eastAsia="ru-RU" w:bidi="ru-RU"/>
          <w:w w:val="100"/>
          <w:spacing w:val="0"/>
          <w:color w:val="000000"/>
          <w:position w:val="0"/>
        </w:rPr>
        <w:t>Таким образом, Заказчик обязан был при описании объекта закупки «закупка аппарата ИВЛ» руководствоваться нормами ГОСТ Р 55954-2014.</w:t>
      </w:r>
    </w:p>
    <w:p>
      <w:pPr>
        <w:pStyle w:val="Style3"/>
        <w:widowControl w:val="0"/>
        <w:keepNext w:val="0"/>
        <w:keepLines w:val="0"/>
        <w:shd w:val="clear" w:color="auto" w:fill="auto"/>
        <w:bidi w:val="0"/>
        <w:jc w:val="both"/>
        <w:spacing w:before="0" w:after="0" w:line="278" w:lineRule="exact"/>
        <w:ind w:left="400" w:right="0" w:firstLine="520"/>
      </w:pPr>
      <w:r>
        <w:rPr>
          <w:lang w:val="ru-RU" w:eastAsia="ru-RU" w:bidi="ru-RU"/>
          <w:w w:val="100"/>
          <w:spacing w:val="0"/>
          <w:color w:val="000000"/>
          <w:position w:val="0"/>
        </w:rPr>
        <w:t>Следовательно, довод Заявителя нашел свое подтверждение.</w:t>
      </w:r>
    </w:p>
    <w:p>
      <w:pPr>
        <w:pStyle w:val="Style3"/>
        <w:numPr>
          <w:ilvl w:val="1"/>
          <w:numId w:val="3"/>
        </w:numPr>
        <w:tabs>
          <w:tab w:leader="none" w:pos="1427" w:val="left"/>
        </w:tabs>
        <w:widowControl w:val="0"/>
        <w:keepNext w:val="0"/>
        <w:keepLines w:val="0"/>
        <w:shd w:val="clear" w:color="auto" w:fill="auto"/>
        <w:bidi w:val="0"/>
        <w:jc w:val="both"/>
        <w:spacing w:before="0" w:after="0" w:line="278" w:lineRule="exact"/>
        <w:ind w:left="400" w:right="400" w:firstLine="520"/>
      </w:pPr>
      <w:r>
        <w:rPr>
          <w:lang w:val="ru-RU" w:eastAsia="ru-RU" w:bidi="ru-RU"/>
          <w:w w:val="100"/>
          <w:spacing w:val="0"/>
          <w:color w:val="000000"/>
          <w:position w:val="0"/>
        </w:rPr>
        <w:t>Согласно части 2 статьи 33 Закона документация о закупке в соответствии с требованиями, указанными в части 1 статьи 33 Закона,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1"/>
        <w:framePr w:w="10440" w:wrap="notBeside" w:vAnchor="text" w:hAnchor="text" w:xAlign="center" w:y="1"/>
        <w:tabs>
          <w:tab w:leader="underscore" w:pos="4757" w:val="left"/>
        </w:tabs>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 xml:space="preserve">Техническим заданием документации об Аукционе предусмотрены, в том числе </w:t>
      </w:r>
      <w:r>
        <w:rPr>
          <w:rStyle w:val="CharStyle33"/>
        </w:rPr>
        <w:t>следующие показатели</w:t>
      </w:r>
      <w:r>
        <w:rPr>
          <w:lang w:val="ru-RU" w:eastAsia="ru-RU" w:bidi="ru-RU"/>
          <w:w w:val="100"/>
          <w:spacing w:val="0"/>
          <w:color w:val="000000"/>
          <w:position w:val="0"/>
        </w:rPr>
        <w:tab/>
      </w:r>
    </w:p>
    <w:tbl>
      <w:tblPr>
        <w:tblOverlap w:val="never"/>
        <w:tblLayout w:type="fixed"/>
        <w:jc w:val="center"/>
      </w:tblPr>
      <w:tblGrid>
        <w:gridCol w:w="864"/>
        <w:gridCol w:w="3782"/>
        <w:gridCol w:w="490"/>
        <w:gridCol w:w="5304"/>
      </w:tblGrid>
      <w:tr>
        <w:trPr>
          <w:trHeight w:val="466" w:hRule="exact"/>
        </w:trPr>
        <w:tc>
          <w:tcPr>
            <w:shd w:val="clear" w:color="auto" w:fill="FFFFFF"/>
            <w:tcBorders>
              <w:left w:val="single" w:sz="4"/>
              <w:top w:val="single" w:sz="4"/>
            </w:tcBorders>
            <w:vAlign w:val="top"/>
          </w:tcPr>
          <w:p>
            <w:pPr>
              <w:framePr w:w="10440" w:wrap="notBeside" w:vAnchor="text" w:hAnchor="text" w:xAlign="center" w:y="1"/>
              <w:widowControl w:val="0"/>
              <w:rPr>
                <w:sz w:val="10"/>
                <w:szCs w:val="10"/>
              </w:rPr>
            </w:pPr>
          </w:p>
        </w:tc>
        <w:tc>
          <w:tcPr>
            <w:shd w:val="clear" w:color="auto" w:fill="FFFFFF"/>
            <w:tcBorders>
              <w:left w:val="single" w:sz="4"/>
              <w:top w:val="single" w:sz="4"/>
            </w:tcBorders>
            <w:vAlign w:val="top"/>
          </w:tcPr>
          <w:p>
            <w:pPr>
              <w:pStyle w:val="Style3"/>
              <w:framePr w:w="10440"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4"/>
              </w:rPr>
              <w:t>Наименование товара/показателя</w:t>
            </w:r>
          </w:p>
        </w:tc>
        <w:tc>
          <w:tcPr>
            <w:shd w:val="clear" w:color="auto" w:fill="FFFFFF"/>
            <w:gridSpan w:val="2"/>
            <w:tcBorders>
              <w:left w:val="single" w:sz="4"/>
              <w:right w:val="single" w:sz="4"/>
              <w:top w:val="single" w:sz="4"/>
            </w:tcBorders>
            <w:vAlign w:val="top"/>
          </w:tcPr>
          <w:p>
            <w:pPr>
              <w:pStyle w:val="Style3"/>
              <w:framePr w:w="10440"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4"/>
              </w:rPr>
              <w:t>Значение показателя</w:t>
            </w:r>
          </w:p>
        </w:tc>
      </w:tr>
      <w:tr>
        <w:trPr>
          <w:trHeight w:val="466" w:hRule="exact"/>
        </w:trPr>
        <w:tc>
          <w:tcPr>
            <w:shd w:val="clear" w:color="auto" w:fill="FFFFFF"/>
            <w:tcBorders>
              <w:left w:val="single" w:sz="4"/>
              <w:top w:val="single" w:sz="4"/>
            </w:tcBorders>
            <w:vAlign w:val="top"/>
          </w:tcPr>
          <w:p>
            <w:pPr>
              <w:pStyle w:val="Style3"/>
              <w:framePr w:w="1044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4"/>
              </w:rPr>
              <w:t>6.5</w:t>
            </w:r>
          </w:p>
        </w:tc>
        <w:tc>
          <w:tcPr>
            <w:shd w:val="clear" w:color="auto" w:fill="FFFFFF"/>
            <w:tcBorders>
              <w:left w:val="single" w:sz="4"/>
              <w:top w:val="single" w:sz="4"/>
            </w:tcBorders>
            <w:vAlign w:val="top"/>
          </w:tcPr>
          <w:p>
            <w:pPr>
              <w:pStyle w:val="Style3"/>
              <w:framePr w:w="10440"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4"/>
              </w:rPr>
              <w:t>Сочетанные режимы</w:t>
            </w:r>
          </w:p>
        </w:tc>
        <w:tc>
          <w:tcPr>
            <w:shd w:val="clear" w:color="auto" w:fill="FFFFFF"/>
            <w:gridSpan w:val="2"/>
            <w:tcBorders>
              <w:left w:val="single" w:sz="4"/>
              <w:right w:val="single" w:sz="4"/>
              <w:top w:val="single" w:sz="4"/>
            </w:tcBorders>
            <w:vAlign w:val="top"/>
          </w:tcPr>
          <w:p>
            <w:pPr>
              <w:pStyle w:val="Style3"/>
              <w:framePr w:w="10440"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4"/>
                <w:lang w:val="en-US" w:eastAsia="en-US" w:bidi="en-US"/>
              </w:rPr>
              <w:t>SIMV+VG, PS+VG</w:t>
            </w:r>
          </w:p>
        </w:tc>
      </w:tr>
      <w:tr>
        <w:trPr>
          <w:trHeight w:val="1344" w:hRule="exact"/>
        </w:trPr>
        <w:tc>
          <w:tcPr>
            <w:shd w:val="clear" w:color="auto" w:fill="FFFFFF"/>
            <w:tcBorders>
              <w:left w:val="single" w:sz="4"/>
              <w:top w:val="single" w:sz="4"/>
            </w:tcBorders>
            <w:vAlign w:val="center"/>
          </w:tcPr>
          <w:p>
            <w:pPr>
              <w:pStyle w:val="Style3"/>
              <w:framePr w:w="1044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4"/>
              </w:rPr>
              <w:t>6.7</w:t>
            </w:r>
          </w:p>
        </w:tc>
        <w:tc>
          <w:tcPr>
            <w:shd w:val="clear" w:color="auto" w:fill="FFFFFF"/>
            <w:tcBorders>
              <w:left w:val="single" w:sz="4"/>
              <w:top w:val="single" w:sz="4"/>
            </w:tcBorders>
            <w:vAlign w:val="center"/>
          </w:tcPr>
          <w:p>
            <w:pPr>
              <w:pStyle w:val="Style3"/>
              <w:framePr w:w="10440"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4"/>
              </w:rPr>
              <w:t>Неинвазивная вентиляция</w:t>
            </w:r>
          </w:p>
        </w:tc>
        <w:tc>
          <w:tcPr>
            <w:shd w:val="clear" w:color="auto" w:fill="FFFFFF"/>
            <w:gridSpan w:val="2"/>
            <w:tcBorders>
              <w:left w:val="single" w:sz="4"/>
              <w:right w:val="single" w:sz="4"/>
              <w:top w:val="single" w:sz="4"/>
            </w:tcBorders>
            <w:vAlign w:val="top"/>
          </w:tcPr>
          <w:p>
            <w:pPr>
              <w:pStyle w:val="Style3"/>
              <w:framePr w:w="10440" w:wrap="notBeside" w:vAnchor="text" w:hAnchor="text" w:xAlign="center" w:y="1"/>
              <w:widowControl w:val="0"/>
              <w:keepNext w:val="0"/>
              <w:keepLines w:val="0"/>
              <w:shd w:val="clear" w:color="auto" w:fill="auto"/>
              <w:bidi w:val="0"/>
              <w:jc w:val="both"/>
              <w:spacing w:before="0" w:after="0" w:line="293" w:lineRule="exact"/>
              <w:ind w:left="0" w:right="0" w:firstLine="0"/>
            </w:pPr>
            <w:r>
              <w:rPr>
                <w:rStyle w:val="CharStyle34"/>
              </w:rPr>
              <w:t>Создание положительного давления в дыхательных путях (СРАР) с помощью специальных носовых канюль или масок у пациентов находящихся на самостоятельном дыхании.</w:t>
            </w:r>
          </w:p>
        </w:tc>
      </w:tr>
      <w:tr>
        <w:trPr>
          <w:trHeight w:val="461" w:hRule="exact"/>
        </w:trPr>
        <w:tc>
          <w:tcPr>
            <w:shd w:val="clear" w:color="auto" w:fill="FFFFFF"/>
            <w:tcBorders>
              <w:left w:val="single" w:sz="4"/>
              <w:top w:val="single" w:sz="4"/>
            </w:tcBorders>
            <w:vAlign w:val="top"/>
          </w:tcPr>
          <w:p>
            <w:pPr>
              <w:pStyle w:val="Style3"/>
              <w:framePr w:w="1044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4"/>
              </w:rPr>
              <w:t>7</w:t>
            </w:r>
          </w:p>
        </w:tc>
        <w:tc>
          <w:tcPr>
            <w:shd w:val="clear" w:color="auto" w:fill="FFFFFF"/>
            <w:gridSpan w:val="2"/>
            <w:tcBorders>
              <w:left w:val="single" w:sz="4"/>
              <w:top w:val="single" w:sz="4"/>
            </w:tcBorders>
            <w:vAlign w:val="top"/>
          </w:tcPr>
          <w:p>
            <w:pPr>
              <w:pStyle w:val="Style3"/>
              <w:framePr w:w="10440"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4"/>
              </w:rPr>
              <w:t>Установочные параметры и регулировки:</w:t>
            </w:r>
          </w:p>
        </w:tc>
        <w:tc>
          <w:tcPr>
            <w:shd w:val="clear" w:color="auto" w:fill="FFFFFF"/>
            <w:tcBorders>
              <w:right w:val="single" w:sz="4"/>
              <w:top w:val="single" w:sz="4"/>
            </w:tcBorders>
            <w:vAlign w:val="top"/>
          </w:tcPr>
          <w:p>
            <w:pPr>
              <w:framePr w:w="10440" w:wrap="notBeside" w:vAnchor="text" w:hAnchor="text" w:xAlign="center" w:y="1"/>
              <w:widowControl w:val="0"/>
              <w:rPr>
                <w:sz w:val="10"/>
                <w:szCs w:val="10"/>
              </w:rPr>
            </w:pPr>
          </w:p>
        </w:tc>
      </w:tr>
      <w:tr>
        <w:trPr>
          <w:trHeight w:val="1042" w:hRule="exact"/>
        </w:trPr>
        <w:tc>
          <w:tcPr>
            <w:shd w:val="clear" w:color="auto" w:fill="FFFFFF"/>
            <w:tcBorders>
              <w:left w:val="single" w:sz="4"/>
              <w:top w:val="single" w:sz="4"/>
            </w:tcBorders>
            <w:vAlign w:val="center"/>
          </w:tcPr>
          <w:p>
            <w:pPr>
              <w:pStyle w:val="Style3"/>
              <w:framePr w:w="1044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4"/>
              </w:rPr>
              <w:t>7.1</w:t>
            </w:r>
          </w:p>
        </w:tc>
        <w:tc>
          <w:tcPr>
            <w:shd w:val="clear" w:color="auto" w:fill="FFFFFF"/>
            <w:tcBorders>
              <w:left w:val="single" w:sz="4"/>
              <w:top w:val="single" w:sz="4"/>
            </w:tcBorders>
            <w:vAlign w:val="top"/>
          </w:tcPr>
          <w:p>
            <w:pPr>
              <w:pStyle w:val="Style3"/>
              <w:framePr w:w="10440" w:wrap="notBeside" w:vAnchor="text" w:hAnchor="text" w:xAlign="center" w:y="1"/>
              <w:widowControl w:val="0"/>
              <w:keepNext w:val="0"/>
              <w:keepLines w:val="0"/>
              <w:shd w:val="clear" w:color="auto" w:fill="auto"/>
              <w:bidi w:val="0"/>
              <w:jc w:val="both"/>
              <w:spacing w:before="0" w:after="0" w:line="293" w:lineRule="exact"/>
              <w:ind w:left="0" w:right="0" w:firstLine="0"/>
            </w:pPr>
            <w:r>
              <w:rPr>
                <w:rStyle w:val="CharStyle34"/>
              </w:rPr>
              <w:t>Наличие рукояток прямого доступа для изменения параметров</w:t>
            </w:r>
          </w:p>
        </w:tc>
        <w:tc>
          <w:tcPr>
            <w:shd w:val="clear" w:color="auto" w:fill="FFFFFF"/>
            <w:gridSpan w:val="2"/>
            <w:tcBorders>
              <w:left w:val="single" w:sz="4"/>
              <w:right w:val="single" w:sz="4"/>
              <w:top w:val="single" w:sz="4"/>
            </w:tcBorders>
            <w:vAlign w:val="center"/>
          </w:tcPr>
          <w:p>
            <w:pPr>
              <w:pStyle w:val="Style3"/>
              <w:framePr w:w="10440"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34"/>
                <w:lang w:val="en-US" w:eastAsia="en-US" w:bidi="en-US"/>
              </w:rPr>
              <w:t xml:space="preserve">Fi02, Ti,Te, Insp.Flow, </w:t>
            </w:r>
            <w:r>
              <w:rPr>
                <w:rStyle w:val="CharStyle34"/>
              </w:rPr>
              <w:t xml:space="preserve">Р </w:t>
            </w:r>
            <w:r>
              <w:rPr>
                <w:rStyle w:val="CharStyle34"/>
                <w:lang w:val="en-US" w:eastAsia="en-US" w:bidi="en-US"/>
              </w:rPr>
              <w:t>insp, PEEP</w:t>
            </w:r>
          </w:p>
        </w:tc>
      </w:tr>
      <w:tr>
        <w:trPr>
          <w:trHeight w:val="461" w:hRule="exact"/>
        </w:trPr>
        <w:tc>
          <w:tcPr>
            <w:shd w:val="clear" w:color="auto" w:fill="FFFFFF"/>
            <w:tcBorders>
              <w:left w:val="single" w:sz="4"/>
              <w:top w:val="single" w:sz="4"/>
            </w:tcBorders>
            <w:vAlign w:val="center"/>
          </w:tcPr>
          <w:p>
            <w:pPr>
              <w:pStyle w:val="Style3"/>
              <w:framePr w:w="1044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4"/>
              </w:rPr>
              <w:t>8</w:t>
            </w:r>
          </w:p>
        </w:tc>
        <w:tc>
          <w:tcPr>
            <w:shd w:val="clear" w:color="auto" w:fill="FFFFFF"/>
            <w:gridSpan w:val="2"/>
            <w:tcBorders>
              <w:left w:val="single" w:sz="4"/>
              <w:top w:val="single" w:sz="4"/>
            </w:tcBorders>
            <w:vAlign w:val="top"/>
          </w:tcPr>
          <w:p>
            <w:pPr>
              <w:pStyle w:val="Style3"/>
              <w:framePr w:w="10440"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4"/>
              </w:rPr>
              <w:t>Системы обеспечения вентиляции:</w:t>
            </w:r>
          </w:p>
        </w:tc>
        <w:tc>
          <w:tcPr>
            <w:shd w:val="clear" w:color="auto" w:fill="FFFFFF"/>
            <w:tcBorders>
              <w:right w:val="single" w:sz="4"/>
              <w:top w:val="single" w:sz="4"/>
            </w:tcBorders>
            <w:vAlign w:val="top"/>
          </w:tcPr>
          <w:p>
            <w:pPr>
              <w:framePr w:w="10440" w:wrap="notBeside" w:vAnchor="text" w:hAnchor="text" w:xAlign="center" w:y="1"/>
              <w:widowControl w:val="0"/>
              <w:rPr>
                <w:sz w:val="10"/>
                <w:szCs w:val="10"/>
              </w:rPr>
            </w:pPr>
          </w:p>
        </w:tc>
      </w:tr>
      <w:tr>
        <w:trPr>
          <w:trHeight w:val="773" w:hRule="exact"/>
        </w:trPr>
        <w:tc>
          <w:tcPr>
            <w:shd w:val="clear" w:color="auto" w:fill="FFFFFF"/>
            <w:tcBorders>
              <w:left w:val="single" w:sz="4"/>
              <w:top w:val="single" w:sz="4"/>
              <w:bottom w:val="single" w:sz="4"/>
            </w:tcBorders>
            <w:vAlign w:val="center"/>
          </w:tcPr>
          <w:p>
            <w:pPr>
              <w:pStyle w:val="Style3"/>
              <w:framePr w:w="1044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4"/>
              </w:rPr>
              <w:t>9</w:t>
            </w:r>
          </w:p>
        </w:tc>
        <w:tc>
          <w:tcPr>
            <w:shd w:val="clear" w:color="auto" w:fill="FFFFFF"/>
            <w:tcBorders>
              <w:left w:val="single" w:sz="4"/>
              <w:top w:val="single" w:sz="4"/>
              <w:bottom w:val="single" w:sz="4"/>
            </w:tcBorders>
            <w:vAlign w:val="center"/>
          </w:tcPr>
          <w:p>
            <w:pPr>
              <w:pStyle w:val="Style3"/>
              <w:framePr w:w="10440"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34"/>
              </w:rPr>
              <w:t>Мониторируемые показатели</w:t>
            </w:r>
          </w:p>
        </w:tc>
        <w:tc>
          <w:tcPr>
            <w:shd w:val="clear" w:color="auto" w:fill="FFFFFF"/>
            <w:gridSpan w:val="2"/>
            <w:tcBorders>
              <w:left w:val="single" w:sz="4"/>
              <w:right w:val="single" w:sz="4"/>
              <w:top w:val="single" w:sz="4"/>
              <w:bottom w:val="single" w:sz="4"/>
            </w:tcBorders>
            <w:vAlign w:val="top"/>
          </w:tcPr>
          <w:p>
            <w:pPr>
              <w:pStyle w:val="Style3"/>
              <w:framePr w:w="10440" w:wrap="notBeside" w:vAnchor="text" w:hAnchor="text" w:xAlign="center" w:y="1"/>
              <w:widowControl w:val="0"/>
              <w:keepNext w:val="0"/>
              <w:keepLines w:val="0"/>
              <w:shd w:val="clear" w:color="auto" w:fill="auto"/>
              <w:bidi w:val="0"/>
              <w:jc w:val="both"/>
              <w:spacing w:before="0" w:after="0" w:line="293" w:lineRule="exact"/>
              <w:ind w:left="0" w:right="0" w:firstLine="0"/>
            </w:pPr>
            <w:r>
              <w:rPr>
                <w:rStyle w:val="CharStyle34"/>
                <w:lang w:val="en-US" w:eastAsia="en-US" w:bidi="en-US"/>
              </w:rPr>
              <w:t xml:space="preserve">P aw, Flow, Vt, MV, Ti:Texp, R, C, t, f , Fi02, % </w:t>
            </w:r>
            <w:r>
              <w:rPr>
                <w:rStyle w:val="CharStyle34"/>
              </w:rPr>
              <w:t xml:space="preserve">самостоятельных вдохов, </w:t>
            </w:r>
            <w:r>
              <w:rPr>
                <w:rStyle w:val="CharStyle34"/>
                <w:lang w:val="en-US" w:eastAsia="en-US" w:bidi="en-US"/>
              </w:rPr>
              <w:t xml:space="preserve">% </w:t>
            </w:r>
            <w:r>
              <w:rPr>
                <w:rStyle w:val="CharStyle34"/>
              </w:rPr>
              <w:t>утечки вдыхаемого объема</w:t>
            </w:r>
          </w:p>
        </w:tc>
      </w:tr>
    </w:tbl>
    <w:p>
      <w:pPr>
        <w:widowControl w:val="0"/>
        <w:rPr>
          <w:sz w:val="2"/>
          <w:szCs w:val="2"/>
        </w:rPr>
      </w:pPr>
    </w:p>
    <w:p>
      <w:pPr>
        <w:pStyle w:val="Style3"/>
        <w:tabs>
          <w:tab w:leader="none" w:pos="2800" w:val="right"/>
          <w:tab w:leader="none" w:pos="2949" w:val="left"/>
        </w:tabs>
        <w:widowControl w:val="0"/>
        <w:keepNext w:val="0"/>
        <w:keepLines w:val="0"/>
        <w:shd w:val="clear" w:color="auto" w:fill="auto"/>
        <w:bidi w:val="0"/>
        <w:jc w:val="both"/>
        <w:spacing w:before="147" w:after="0" w:line="269" w:lineRule="exact"/>
        <w:ind w:left="400" w:right="400" w:firstLine="520"/>
      </w:pPr>
      <w:r>
        <w:rPr>
          <w:lang w:val="ru-RU" w:eastAsia="ru-RU" w:bidi="ru-RU"/>
          <w:w w:val="100"/>
          <w:spacing w:val="0"/>
          <w:color w:val="000000"/>
          <w:position w:val="0"/>
        </w:rPr>
        <w:t>При этом пунктом 4.3 ГОСТ Р 55954-2014 установлены требования к функциям аппарата ИВЛ для обеспечения возможности применения различных режимов вентиляции - принудительной (управляемой), вспомогательной, неинвазивной, сочетанной и адаптивной ИВЛ:</w:t>
        <w:tab/>
        <w:t>предусмотрены</w:t>
        <w:tab/>
      </w:r>
      <w:r>
        <w:rPr>
          <w:lang w:val="en-US" w:eastAsia="en-US" w:bidi="en-US"/>
          <w:w w:val="100"/>
          <w:spacing w:val="0"/>
          <w:color w:val="000000"/>
          <w:position w:val="0"/>
        </w:rPr>
        <w:t xml:space="preserve">SIMV/VCV </w:t>
      </w:r>
      <w:r>
        <w:rPr>
          <w:lang w:val="ru-RU" w:eastAsia="ru-RU" w:bidi="ru-RU"/>
          <w:w w:val="100"/>
          <w:spacing w:val="0"/>
          <w:color w:val="000000"/>
          <w:position w:val="0"/>
        </w:rPr>
        <w:t xml:space="preserve">+ </w:t>
      </w:r>
      <w:r>
        <w:rPr>
          <w:lang w:val="en-US" w:eastAsia="en-US" w:bidi="en-US"/>
          <w:w w:val="100"/>
          <w:spacing w:val="0"/>
          <w:color w:val="000000"/>
          <w:position w:val="0"/>
        </w:rPr>
        <w:t xml:space="preserve">PS </w:t>
      </w:r>
      <w:r>
        <w:rPr>
          <w:lang w:val="ru-RU" w:eastAsia="ru-RU" w:bidi="ru-RU"/>
          <w:w w:val="100"/>
          <w:spacing w:val="0"/>
          <w:color w:val="000000"/>
          <w:position w:val="0"/>
        </w:rPr>
        <w:t>- режим синхронизированной перемежающейся</w:t>
      </w:r>
    </w:p>
    <w:p>
      <w:pPr>
        <w:pStyle w:val="Style3"/>
        <w:widowControl w:val="0"/>
        <w:keepNext w:val="0"/>
        <w:keepLines w:val="0"/>
        <w:shd w:val="clear" w:color="auto" w:fill="auto"/>
        <w:bidi w:val="0"/>
        <w:jc w:val="both"/>
        <w:spacing w:before="0" w:after="0" w:line="269" w:lineRule="exact"/>
        <w:ind w:left="400" w:right="400" w:firstLine="0"/>
      </w:pPr>
      <w:r>
        <w:rPr>
          <w:lang w:val="ru-RU" w:eastAsia="ru-RU" w:bidi="ru-RU"/>
          <w:w w:val="100"/>
          <w:spacing w:val="0"/>
          <w:color w:val="000000"/>
          <w:position w:val="0"/>
        </w:rPr>
        <w:t xml:space="preserve">вспомогательной ИВЛ с управлением по объему, потоковым триггером или триггером по давлению и с возможностью включения поддержки по давлению; </w:t>
      </w:r>
      <w:r>
        <w:rPr>
          <w:lang w:val="en-US" w:eastAsia="en-US" w:bidi="en-US"/>
          <w:w w:val="100"/>
          <w:spacing w:val="0"/>
          <w:color w:val="000000"/>
          <w:position w:val="0"/>
        </w:rPr>
        <w:t xml:space="preserve">SIMV/PCV </w:t>
      </w:r>
      <w:r>
        <w:rPr>
          <w:lang w:val="ru-RU" w:eastAsia="ru-RU" w:bidi="ru-RU"/>
          <w:w w:val="100"/>
          <w:spacing w:val="0"/>
          <w:color w:val="000000"/>
          <w:position w:val="0"/>
        </w:rPr>
        <w:t xml:space="preserve">+ </w:t>
      </w:r>
      <w:r>
        <w:rPr>
          <w:lang w:val="en-US" w:eastAsia="en-US" w:bidi="en-US"/>
          <w:w w:val="100"/>
          <w:spacing w:val="0"/>
          <w:color w:val="000000"/>
          <w:position w:val="0"/>
        </w:rPr>
        <w:t xml:space="preserve">PS </w:t>
      </w:r>
      <w:r>
        <w:rPr>
          <w:lang w:val="ru-RU" w:eastAsia="ru-RU" w:bidi="ru-RU"/>
          <w:w w:val="100"/>
          <w:spacing w:val="0"/>
          <w:color w:val="000000"/>
          <w:position w:val="0"/>
        </w:rPr>
        <w:t xml:space="preserve">- режим синхронизированной перемежающейся вспомогательной ИВЛ с управлением по давлению вдоха, потоковым триггером или триггером по давлению и с возможностью включения поддержки по давлению; </w:t>
      </w:r>
      <w:r>
        <w:rPr>
          <w:lang w:val="en-US" w:eastAsia="en-US" w:bidi="en-US"/>
          <w:w w:val="100"/>
          <w:spacing w:val="0"/>
          <w:color w:val="000000"/>
          <w:position w:val="0"/>
        </w:rPr>
        <w:t xml:space="preserve">SIMV DC </w:t>
      </w:r>
      <w:r>
        <w:rPr>
          <w:lang w:val="ru-RU" w:eastAsia="ru-RU" w:bidi="ru-RU"/>
          <w:w w:val="100"/>
          <w:spacing w:val="0"/>
          <w:color w:val="000000"/>
          <w:position w:val="0"/>
        </w:rPr>
        <w:t xml:space="preserve">+ </w:t>
      </w:r>
      <w:r>
        <w:rPr>
          <w:lang w:val="en-US" w:eastAsia="en-US" w:bidi="en-US"/>
          <w:w w:val="100"/>
          <w:spacing w:val="0"/>
          <w:color w:val="000000"/>
          <w:position w:val="0"/>
        </w:rPr>
        <w:t xml:space="preserve">PS </w:t>
      </w:r>
      <w:r>
        <w:rPr>
          <w:lang w:val="ru-RU" w:eastAsia="ru-RU" w:bidi="ru-RU"/>
          <w:w w:val="100"/>
          <w:spacing w:val="0"/>
          <w:color w:val="000000"/>
          <w:position w:val="0"/>
        </w:rPr>
        <w:t>- режим синхронизированной перемежающейся вспомогательной ИВЛ с двойным контролем, с поддержкой спонтанных вдохов и компенсацией утечки и другие предусматривающие как сокращенное обозначение, так и расшифровку данного режима.</w:t>
      </w:r>
    </w:p>
    <w:p>
      <w:pPr>
        <w:pStyle w:val="Style3"/>
        <w:widowControl w:val="0"/>
        <w:keepNext w:val="0"/>
        <w:keepLines w:val="0"/>
        <w:shd w:val="clear" w:color="auto" w:fill="auto"/>
        <w:bidi w:val="0"/>
        <w:jc w:val="both"/>
        <w:spacing w:before="0" w:after="0" w:line="269" w:lineRule="exact"/>
        <w:ind w:left="400" w:right="400" w:firstLine="520"/>
      </w:pPr>
      <w:r>
        <w:rPr>
          <w:lang w:val="ru-RU" w:eastAsia="ru-RU" w:bidi="ru-RU"/>
          <w:w w:val="100"/>
          <w:spacing w:val="0"/>
          <w:color w:val="000000"/>
          <w:position w:val="0"/>
        </w:rPr>
        <w:t>Следует отметить, что основные технические характеристики аппарата ИВЛ приведены в таблице 1 ГОСТ Р 55954-2014, данные технические характеристики отличаются от Технического задания документации об Аукционе установленного Заказчиком, что свидетельствует о нарушении пункта 2 части 1 статьи 33 Закона.</w:t>
      </w:r>
    </w:p>
    <w:p>
      <w:pPr>
        <w:pStyle w:val="Style3"/>
        <w:widowControl w:val="0"/>
        <w:keepNext w:val="0"/>
        <w:keepLines w:val="0"/>
        <w:shd w:val="clear" w:color="auto" w:fill="auto"/>
        <w:bidi w:val="0"/>
        <w:jc w:val="both"/>
        <w:spacing w:before="0" w:after="0" w:line="269" w:lineRule="exact"/>
        <w:ind w:left="400" w:right="0" w:firstLine="520"/>
      </w:pPr>
      <w:r>
        <w:rPr>
          <w:lang w:val="ru-RU" w:eastAsia="ru-RU" w:bidi="ru-RU"/>
          <w:w w:val="100"/>
          <w:spacing w:val="0"/>
          <w:color w:val="000000"/>
          <w:position w:val="0"/>
        </w:rPr>
        <w:t>Следовательно, довод Заявителя нашел свое подтверждение.</w:t>
      </w:r>
    </w:p>
    <w:p>
      <w:pPr>
        <w:pStyle w:val="Style3"/>
        <w:widowControl w:val="0"/>
        <w:keepNext w:val="0"/>
        <w:keepLines w:val="0"/>
        <w:shd w:val="clear" w:color="auto" w:fill="auto"/>
        <w:bidi w:val="0"/>
        <w:jc w:val="both"/>
        <w:spacing w:before="0" w:after="0" w:line="278" w:lineRule="exact"/>
        <w:ind w:left="20" w:right="20" w:firstLine="540"/>
      </w:pPr>
      <w:r>
        <w:rPr>
          <w:lang w:val="ru-RU" w:eastAsia="ru-RU" w:bidi="ru-RU"/>
          <w:w w:val="100"/>
          <w:spacing w:val="0"/>
          <w:color w:val="000000"/>
          <w:position w:val="0"/>
        </w:rPr>
        <w:t>Таким образом, при описании объекта закупки Заказчиком нарушены требования пункта 2 части 1, части 2 и части 5 статьи 33 Закона,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0" w:line="298" w:lineRule="exact"/>
        <w:ind w:left="20" w:right="20" w:firstLine="540"/>
      </w:pPr>
      <w:r>
        <w:rPr>
          <w:lang w:val="ru-RU" w:eastAsia="ru-RU" w:bidi="ru-RU"/>
          <w:w w:val="100"/>
          <w:spacing w:val="0"/>
          <w:color w:val="000000"/>
          <w:position w:val="0"/>
        </w:rPr>
        <w:t>Принимая во внимание, изложенное выше и руководствуясь частью 8 статьи 106 Закона, пункта 3.38 Административного регламента Комиссия</w:t>
      </w:r>
    </w:p>
    <w:p>
      <w:pPr>
        <w:pStyle w:val="Style35"/>
        <w:widowControl w:val="0"/>
        <w:keepNext w:val="0"/>
        <w:keepLines w:val="0"/>
        <w:shd w:val="clear" w:color="auto" w:fill="auto"/>
        <w:bidi w:val="0"/>
        <w:jc w:val="left"/>
        <w:spacing w:before="0" w:after="0"/>
        <w:ind w:left="4420" w:right="0" w:firstLine="0"/>
      </w:pPr>
      <w:r>
        <w:rPr>
          <w:lang w:val="ru-RU" w:eastAsia="ru-RU" w:bidi="ru-RU"/>
          <w:w w:val="100"/>
          <w:color w:val="000000"/>
          <w:position w:val="0"/>
        </w:rPr>
        <w:t>РЕШИЛА:</w:t>
      </w:r>
    </w:p>
    <w:p>
      <w:pPr>
        <w:pStyle w:val="Style3"/>
        <w:numPr>
          <w:ilvl w:val="0"/>
          <w:numId w:val="7"/>
        </w:numPr>
        <w:tabs>
          <w:tab w:leader="none" w:pos="5082" w:val="center"/>
        </w:tabs>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Жалобу ООО «Торговая компания Нотлекс» признать обоснованной.</w:t>
      </w:r>
    </w:p>
    <w:p>
      <w:pPr>
        <w:pStyle w:val="Style3"/>
        <w:numPr>
          <w:ilvl w:val="0"/>
          <w:numId w:val="7"/>
        </w:numPr>
        <w:tabs>
          <w:tab w:leader="none" w:pos="5082" w:val="center"/>
          <w:tab w:leader="none" w:pos="9669" w:val="right"/>
        </w:tabs>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Признать в действиях Заказчика нарушение пункта 2 части 1, части 2 и части</w:t>
        <w:tab/>
        <w:t>5</w:t>
      </w:r>
    </w:p>
    <w:p>
      <w:pPr>
        <w:pStyle w:val="Style3"/>
        <w:tabs>
          <w:tab w:leader="none" w:pos="5082" w:val="center"/>
          <w:tab w:leader="none" w:pos="8918" w:val="left"/>
          <w:tab w:leader="none" w:pos="9158"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статьи 33</w:t>
        <w:tab/>
        <w:t xml:space="preserve">Федерального закона от 05.04.2013 № 44-ФЗ </w:t>
      </w:r>
      <w:r>
        <w:rPr>
          <w:rStyle w:val="CharStyle37"/>
        </w:rPr>
        <w:t>«О</w:t>
      </w:r>
      <w:r>
        <w:rPr>
          <w:lang w:val="ru-RU" w:eastAsia="ru-RU" w:bidi="ru-RU"/>
          <w:w w:val="100"/>
          <w:spacing w:val="0"/>
          <w:color w:val="000000"/>
          <w:position w:val="0"/>
        </w:rPr>
        <w:t xml:space="preserve"> контрактной системе</w:t>
        <w:tab/>
        <w:t>в</w:t>
        <w:tab/>
        <w:t>сфере</w:t>
      </w:r>
    </w:p>
    <w:p>
      <w:pPr>
        <w:pStyle w:val="Style3"/>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закупок товаров, работ, услуг для обеспечения государственных и муниципальных нужд».</w:t>
      </w:r>
    </w:p>
    <w:p>
      <w:pPr>
        <w:pStyle w:val="Style3"/>
        <w:numPr>
          <w:ilvl w:val="0"/>
          <w:numId w:val="7"/>
        </w:numPr>
        <w:tabs>
          <w:tab w:leader="none" w:pos="5082" w:val="center"/>
        </w:tabs>
        <w:widowControl w:val="0"/>
        <w:keepNext w:val="0"/>
        <w:keepLines w:val="0"/>
        <w:shd w:val="clear" w:color="auto" w:fill="auto"/>
        <w:bidi w:val="0"/>
        <w:jc w:val="both"/>
        <w:spacing w:before="0" w:after="0"/>
        <w:ind w:left="20" w:right="0" w:firstLine="540"/>
      </w:pPr>
      <w:r>
        <w:rPr>
          <w:lang w:val="ru-RU" w:eastAsia="ru-RU" w:bidi="ru-RU"/>
          <w:w w:val="100"/>
          <w:spacing w:val="0"/>
          <w:color w:val="000000"/>
          <w:position w:val="0"/>
        </w:rPr>
        <w:t>Выдать Заказчику, предписание об устранении нарушений Закона.</w:t>
      </w:r>
    </w:p>
    <w:p>
      <w:pPr>
        <w:pStyle w:val="Style3"/>
        <w:numPr>
          <w:ilvl w:val="0"/>
          <w:numId w:val="7"/>
        </w:numPr>
        <w:widowControl w:val="0"/>
        <w:keepNext w:val="0"/>
        <w:keepLines w:val="0"/>
        <w:shd w:val="clear" w:color="auto" w:fill="auto"/>
        <w:bidi w:val="0"/>
        <w:jc w:val="both"/>
        <w:spacing w:before="0" w:after="0"/>
        <w:ind w:left="20" w:right="20" w:firstLine="540"/>
      </w:pPr>
      <w:r>
        <w:rPr>
          <w:lang w:val="ru-RU" w:eastAsia="ru-RU" w:bidi="ru-RU"/>
          <w:w w:val="100"/>
          <w:spacing w:val="0"/>
          <w:color w:val="000000"/>
          <w:position w:val="0"/>
        </w:rPr>
        <w:t xml:space="preserve"> Передать материалы дела № 473-17/03ТЖ по выявленным нарушениям Закона должностному лицу Управления для рассмотрения вопроса о возбуждении дела об административном правонарушении.</w:t>
      </w:r>
    </w:p>
    <w:p>
      <w:pPr>
        <w:pStyle w:val="Style3"/>
        <w:tabs>
          <w:tab w:leader="none" w:pos="7422" w:val="right"/>
          <w:tab w:leader="none" w:pos="8914" w:val="right"/>
        </w:tabs>
        <w:widowControl w:val="0"/>
        <w:keepNext w:val="0"/>
        <w:keepLines w:val="0"/>
        <w:shd w:val="clear" w:color="auto" w:fill="auto"/>
        <w:bidi w:val="0"/>
        <w:jc w:val="both"/>
        <w:spacing w:before="0" w:after="0" w:line="542" w:lineRule="exact"/>
        <w:ind w:left="20" w:right="0" w:firstLine="0"/>
      </w:pPr>
      <w:r>
        <w:rPr>
          <w:lang w:val="ru-RU" w:eastAsia="ru-RU" w:bidi="ru-RU"/>
          <w:w w:val="100"/>
          <w:spacing w:val="0"/>
          <w:color w:val="000000"/>
          <w:position w:val="0"/>
        </w:rPr>
        <w:t>Председатель Комиссии:</w:t>
        <w:tab/>
        <w:t>И.В.</w:t>
        <w:tab/>
        <w:t>Солдатенкова</w:t>
      </w:r>
    </w:p>
    <w:p>
      <w:pPr>
        <w:pStyle w:val="Style3"/>
        <w:tabs>
          <w:tab w:leader="none" w:pos="7628" w:val="left"/>
        </w:tabs>
        <w:widowControl w:val="0"/>
        <w:keepNext w:val="0"/>
        <w:keepLines w:val="0"/>
        <w:shd w:val="clear" w:color="auto" w:fill="auto"/>
        <w:bidi w:val="0"/>
        <w:jc w:val="both"/>
        <w:spacing w:before="0" w:after="0" w:line="542" w:lineRule="exact"/>
        <w:ind w:left="20" w:right="0" w:firstLine="0"/>
      </w:pPr>
      <w:r>
        <w:rPr>
          <w:lang w:val="ru-RU" w:eastAsia="ru-RU" w:bidi="ru-RU"/>
          <w:w w:val="100"/>
          <w:spacing w:val="0"/>
          <w:color w:val="000000"/>
          <w:position w:val="0"/>
        </w:rPr>
        <w:t>Члены Комиссии:</w:t>
        <w:tab/>
        <w:t>А.С. Бочков</w:t>
      </w:r>
    </w:p>
    <w:p>
      <w:pPr>
        <w:pStyle w:val="Style38"/>
        <w:widowControl w:val="0"/>
        <w:keepNext w:val="0"/>
        <w:keepLines w:val="0"/>
        <w:shd w:val="clear" w:color="auto" w:fill="auto"/>
        <w:bidi w:val="0"/>
        <w:jc w:val="left"/>
        <w:spacing w:before="0" w:after="0" w:line="360" w:lineRule="exact"/>
        <w:ind w:left="20" w:right="0" w:firstLine="0"/>
      </w:pPr>
      <w:r>
        <w:rPr>
          <w:rStyle w:val="CharStyle40"/>
          <w:i/>
          <w:iCs/>
        </w:rPr>
        <w:t>Л</w:t>
      </w:r>
    </w:p>
    <w:p>
      <w:pPr>
        <w:pStyle w:val="Style3"/>
        <w:widowControl w:val="0"/>
        <w:keepNext w:val="0"/>
        <w:keepLines w:val="0"/>
        <w:shd w:val="clear" w:color="auto" w:fill="auto"/>
        <w:bidi w:val="0"/>
        <w:spacing w:before="0" w:after="0" w:line="552" w:lineRule="exact"/>
        <w:ind w:left="340" w:right="20" w:firstLine="0"/>
      </w:pPr>
      <w:r>
        <w:rPr>
          <w:lang w:val="ru-RU" w:eastAsia="ru-RU" w:bidi="ru-RU"/>
          <w:w w:val="100"/>
          <w:spacing w:val="0"/>
          <w:color w:val="000000"/>
          <w:position w:val="0"/>
        </w:rPr>
        <w:t>Е.Ю. Погодина М.А. Лебедев</w:t>
      </w:r>
    </w:p>
    <w:p>
      <w:pPr>
        <w:pStyle w:val="Style41"/>
        <w:widowControl w:val="0"/>
        <w:keepNext w:val="0"/>
        <w:keepLines w:val="0"/>
        <w:shd w:val="clear" w:color="auto" w:fill="auto"/>
        <w:bidi w:val="0"/>
        <w:jc w:val="left"/>
        <w:spacing w:before="0" w:after="3462"/>
        <w:ind w:left="20" w:right="20"/>
      </w:pPr>
      <w:r>
        <w:rPr>
          <w:lang w:val="ru-RU" w:eastAsia="ru-RU" w:bidi="ru-RU"/>
          <w:w w:val="100"/>
          <w:spacing w:val="0"/>
          <w:color w:val="000000"/>
          <w:position w:val="0"/>
        </w:rPr>
        <w:t>На основании части 9 статьи 106 Закона решение, принятое по результатам рассмотрения жалобы, может быть обжаловано в течЬние трех месяцев со дня его принятия.</w:t>
      </w:r>
    </w:p>
    <w:p>
      <w:pPr>
        <w:pStyle w:val="Style10"/>
        <w:widowControl w:val="0"/>
        <w:keepNext w:val="0"/>
        <w:keepLines w:val="0"/>
        <w:shd w:val="clear" w:color="auto" w:fill="auto"/>
        <w:bidi w:val="0"/>
        <w:jc w:val="left"/>
        <w:spacing w:before="0" w:after="0" w:line="202" w:lineRule="exact"/>
        <w:ind w:left="760" w:right="7760" w:firstLine="0"/>
      </w:pPr>
      <w:r>
        <w:rPr>
          <w:lang w:val="ru-RU" w:eastAsia="ru-RU" w:bidi="ru-RU"/>
          <w:w w:val="100"/>
          <w:spacing w:val="0"/>
          <w:color w:val="000000"/>
          <w:position w:val="0"/>
        </w:rPr>
        <w:t>Погодина Е.Ю. (4862) 73-16-32</w:t>
      </w:r>
    </w:p>
    <w:sectPr>
      <w:type w:val="continuous"/>
      <w:pgSz w:w="11906" w:h="16838"/>
      <w:pgMar w:top="2123" w:left="745" w:right="711" w:bottom="126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w:basedOn w:val="CharStyle4"/>
    <w:rPr>
      <w:lang w:val="ru-RU" w:eastAsia="ru-RU" w:bidi="ru-RU"/>
      <w:u w:val="single"/>
      <w:w w:val="100"/>
      <w:spacing w:val="0"/>
      <w:color w:val="000000"/>
      <w:position w:val="0"/>
    </w:rPr>
  </w:style>
  <w:style w:type="character" w:customStyle="1" w:styleId="CharStyle7">
    <w:name w:val="Основной текст (2)_"/>
    <w:basedOn w:val="DefaultParagraphFont"/>
    <w:link w:val="Style6"/>
    <w:rPr>
      <w:b w:val="0"/>
      <w:bCs w:val="0"/>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9">
    <w:name w:val="Основной текст"/>
    <w:basedOn w:val="CharStyle4"/>
    <w:rPr>
      <w:lang w:val="ru-RU" w:eastAsia="ru-RU" w:bidi="ru-RU"/>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16"/>
      <w:szCs w:val="16"/>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4">
    <w:name w:val="Заголовок №1_"/>
    <w:basedOn w:val="DefaultParagraphFont"/>
    <w:link w:val="Style13"/>
    <w:rPr>
      <w:b w:val="0"/>
      <w:bCs w:val="0"/>
      <w:i/>
      <w:iCs/>
      <w:u w:val="none"/>
      <w:strike w:val="0"/>
      <w:smallCaps w:val="0"/>
      <w:sz w:val="26"/>
      <w:szCs w:val="26"/>
      <w:rFonts w:ascii="Times New Roman" w:eastAsia="Times New Roman" w:hAnsi="Times New Roman" w:cs="Times New Roman"/>
      <w:spacing w:val="-30"/>
    </w:rPr>
  </w:style>
  <w:style w:type="character" w:customStyle="1" w:styleId="CharStyle15">
    <w:name w:val="Заголовок №1"/>
    <w:basedOn w:val="CharStyle14"/>
    <w:rPr>
      <w:lang w:val="en-US" w:eastAsia="en-US" w:bidi="en-US"/>
      <w:u w:val="single"/>
      <w:w w:val="100"/>
      <w:color w:val="000000"/>
      <w:position w:val="0"/>
    </w:rPr>
  </w:style>
  <w:style w:type="character" w:customStyle="1" w:styleId="CharStyle16">
    <w:name w:val="Заголовок №1 + Не курсив,Интервал 1 pt"/>
    <w:basedOn w:val="CharStyle14"/>
    <w:rPr>
      <w:lang w:val="ru-RU" w:eastAsia="ru-RU" w:bidi="ru-RU"/>
      <w:i/>
      <w:iCs/>
      <w:u w:val="single"/>
      <w:w w:val="100"/>
      <w:spacing w:val="20"/>
      <w:color w:val="000000"/>
      <w:position w:val="0"/>
    </w:rPr>
  </w:style>
  <w:style w:type="character" w:customStyle="1" w:styleId="CharStyle17">
    <w:name w:val="Заголовок №1 + Не курсив,Интервал 1 pt"/>
    <w:basedOn w:val="CharStyle14"/>
    <w:rPr>
      <w:lang w:val="ru-RU" w:eastAsia="ru-RU" w:bidi="ru-RU"/>
      <w:i/>
      <w:iCs/>
      <w:w w:val="100"/>
      <w:spacing w:val="20"/>
      <w:color w:val="000000"/>
      <w:position w:val="0"/>
    </w:rPr>
  </w:style>
  <w:style w:type="character" w:customStyle="1" w:styleId="CharStyle18">
    <w:name w:val="Заголовок №1 + Не курсив,Интервал 1 pt"/>
    <w:basedOn w:val="CharStyle14"/>
    <w:rPr>
      <w:lang w:val="ru-RU" w:eastAsia="ru-RU" w:bidi="ru-RU"/>
      <w:i/>
      <w:iCs/>
      <w:w w:val="100"/>
      <w:spacing w:val="20"/>
      <w:color w:val="000000"/>
      <w:position w:val="0"/>
    </w:rPr>
  </w:style>
  <w:style w:type="character" w:customStyle="1" w:styleId="CharStyle19">
    <w:name w:val="Заголовок №1"/>
    <w:basedOn w:val="CharStyle14"/>
    <w:rPr>
      <w:lang w:val="ru-RU" w:eastAsia="ru-RU" w:bidi="ru-RU"/>
      <w:w w:val="100"/>
      <w:color w:val="000000"/>
      <w:position w:val="0"/>
    </w:rPr>
  </w:style>
  <w:style w:type="character" w:customStyle="1" w:styleId="CharStyle21">
    <w:name w:val="Основной текст (4)_"/>
    <w:basedOn w:val="DefaultParagraphFont"/>
    <w:link w:val="Style20"/>
    <w:rPr>
      <w:b w:val="0"/>
      <w:bCs w:val="0"/>
      <w:i w:val="0"/>
      <w:iCs w:val="0"/>
      <w:u w:val="none"/>
      <w:strike w:val="0"/>
      <w:smallCaps w:val="0"/>
      <w:sz w:val="22"/>
      <w:szCs w:val="22"/>
      <w:rFonts w:ascii="Times New Roman" w:eastAsia="Times New Roman" w:hAnsi="Times New Roman" w:cs="Times New Roman"/>
    </w:rPr>
  </w:style>
  <w:style w:type="character" w:customStyle="1" w:styleId="CharStyle22">
    <w:name w:val="Основной текст + Интервал 3 pt"/>
    <w:basedOn w:val="CharStyle4"/>
    <w:rPr>
      <w:lang w:val="ru-RU" w:eastAsia="ru-RU" w:bidi="ru-RU"/>
      <w:w w:val="100"/>
      <w:spacing w:val="70"/>
      <w:color w:val="000000"/>
      <w:position w:val="0"/>
    </w:rPr>
  </w:style>
  <w:style w:type="character" w:customStyle="1" w:styleId="CharStyle23">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7"/>
    </w:rPr>
  </w:style>
  <w:style w:type="character" w:customStyle="1" w:styleId="CharStyle25">
    <w:name w:val="Основной текст (6) Exact"/>
    <w:basedOn w:val="DefaultParagraphFont"/>
    <w:link w:val="Style24"/>
    <w:rPr>
      <w:b w:val="0"/>
      <w:bCs w:val="0"/>
      <w:i w:val="0"/>
      <w:iCs w:val="0"/>
      <w:u w:val="none"/>
      <w:strike w:val="0"/>
      <w:smallCaps w:val="0"/>
      <w:sz w:val="30"/>
      <w:szCs w:val="30"/>
      <w:rFonts w:ascii="Times New Roman" w:eastAsia="Times New Roman" w:hAnsi="Times New Roman" w:cs="Times New Roman"/>
      <w:spacing w:val="23"/>
    </w:rPr>
  </w:style>
  <w:style w:type="character" w:customStyle="1" w:styleId="CharStyle26">
    <w:name w:val="Основной текст (6) + Интервал 0 pt Exact"/>
    <w:basedOn w:val="CharStyle25"/>
    <w:rPr>
      <w:lang w:val="1024"/>
      <w:w w:val="100"/>
      <w:spacing w:val="0"/>
      <w:color w:val="000000"/>
      <w:position w:val="0"/>
    </w:rPr>
  </w:style>
  <w:style w:type="character" w:customStyle="1" w:styleId="CharStyle27">
    <w:name w:val="Основной текст (6) + Verdana,14 pt,Курсив,Интервал 0 pt Exact"/>
    <w:basedOn w:val="CharStyle25"/>
    <w:rPr>
      <w:lang w:val="ru-RU" w:eastAsia="ru-RU" w:bidi="ru-RU"/>
      <w:i/>
      <w:iCs/>
      <w:sz w:val="28"/>
      <w:szCs w:val="28"/>
      <w:rFonts w:ascii="Verdana" w:eastAsia="Verdana" w:hAnsi="Verdana" w:cs="Verdana"/>
      <w:w w:val="100"/>
      <w:spacing w:val="0"/>
      <w:color w:val="000000"/>
      <w:position w:val="0"/>
    </w:rPr>
  </w:style>
  <w:style w:type="character" w:customStyle="1" w:styleId="CharStyle29">
    <w:name w:val="Основной текст (5)_"/>
    <w:basedOn w:val="DefaultParagraphFont"/>
    <w:link w:val="Style28"/>
    <w:rPr>
      <w:b w:val="0"/>
      <w:bCs w:val="0"/>
      <w:i w:val="0"/>
      <w:iCs w:val="0"/>
      <w:u w:val="none"/>
      <w:strike w:val="0"/>
      <w:smallCaps w:val="0"/>
      <w:sz w:val="9"/>
      <w:szCs w:val="9"/>
      <w:rFonts w:ascii="Times New Roman" w:eastAsia="Times New Roman" w:hAnsi="Times New Roman" w:cs="Times New Roman"/>
    </w:rPr>
  </w:style>
  <w:style w:type="character" w:customStyle="1" w:styleId="CharStyle30">
    <w:name w:val="Основной текст (5)"/>
    <w:basedOn w:val="CharStyle29"/>
    <w:rPr>
      <w:lang w:val="ru-RU" w:eastAsia="ru-RU" w:bidi="ru-RU"/>
      <w:w w:val="100"/>
      <w:spacing w:val="0"/>
      <w:color w:val="000000"/>
      <w:position w:val="0"/>
    </w:rPr>
  </w:style>
  <w:style w:type="character" w:customStyle="1" w:styleId="CharStyle32">
    <w:name w:val="Подпись к таблице_"/>
    <w:basedOn w:val="DefaultParagraphFont"/>
    <w:link w:val="Style31"/>
    <w:rPr>
      <w:b w:val="0"/>
      <w:bCs w:val="0"/>
      <w:i w:val="0"/>
      <w:iCs w:val="0"/>
      <w:u w:val="none"/>
      <w:strike w:val="0"/>
      <w:smallCaps w:val="0"/>
      <w:sz w:val="22"/>
      <w:szCs w:val="22"/>
      <w:rFonts w:ascii="Times New Roman" w:eastAsia="Times New Roman" w:hAnsi="Times New Roman" w:cs="Times New Roman"/>
    </w:rPr>
  </w:style>
  <w:style w:type="character" w:customStyle="1" w:styleId="CharStyle33">
    <w:name w:val="Подпись к таблице"/>
    <w:basedOn w:val="CharStyle32"/>
    <w:rPr>
      <w:lang w:val="ru-RU" w:eastAsia="ru-RU" w:bidi="ru-RU"/>
      <w:u w:val="single"/>
      <w:w w:val="100"/>
      <w:spacing w:val="0"/>
      <w:color w:val="000000"/>
      <w:position w:val="0"/>
    </w:rPr>
  </w:style>
  <w:style w:type="character" w:customStyle="1" w:styleId="CharStyle34">
    <w:name w:val="Основной текст"/>
    <w:basedOn w:val="CharStyle4"/>
    <w:rPr>
      <w:lang w:val="ru-RU" w:eastAsia="ru-RU" w:bidi="ru-RU"/>
      <w:w w:val="100"/>
      <w:spacing w:val="0"/>
      <w:color w:val="000000"/>
      <w:position w:val="0"/>
    </w:rPr>
  </w:style>
  <w:style w:type="character" w:customStyle="1" w:styleId="CharStyle36">
    <w:name w:val="Основной текст (7)_"/>
    <w:basedOn w:val="DefaultParagraphFont"/>
    <w:link w:val="Style35"/>
    <w:rPr>
      <w:b w:val="0"/>
      <w:bCs w:val="0"/>
      <w:i w:val="0"/>
      <w:iCs w:val="0"/>
      <w:u w:val="none"/>
      <w:strike w:val="0"/>
      <w:smallCaps w:val="0"/>
      <w:sz w:val="22"/>
      <w:szCs w:val="22"/>
      <w:rFonts w:ascii="Times New Roman" w:eastAsia="Times New Roman" w:hAnsi="Times New Roman" w:cs="Times New Roman"/>
      <w:spacing w:val="60"/>
    </w:rPr>
  </w:style>
  <w:style w:type="character" w:customStyle="1" w:styleId="CharStyle37">
    <w:name w:val="Основной текст + Курсив"/>
    <w:basedOn w:val="CharStyle4"/>
    <w:rPr>
      <w:lang w:val="ru-RU" w:eastAsia="ru-RU" w:bidi="ru-RU"/>
      <w:i/>
      <w:iCs/>
      <w:w w:val="100"/>
      <w:spacing w:val="0"/>
      <w:color w:val="000000"/>
      <w:position w:val="0"/>
    </w:rPr>
  </w:style>
  <w:style w:type="character" w:customStyle="1" w:styleId="CharStyle39">
    <w:name w:val="Основной текст (8)_"/>
    <w:basedOn w:val="DefaultParagraphFont"/>
    <w:link w:val="Style38"/>
    <w:rPr>
      <w:b w:val="0"/>
      <w:bCs w:val="0"/>
      <w:i/>
      <w:iCs/>
      <w:u w:val="none"/>
      <w:strike w:val="0"/>
      <w:smallCaps w:val="0"/>
      <w:sz w:val="36"/>
      <w:szCs w:val="36"/>
      <w:rFonts w:ascii="Tahoma" w:eastAsia="Tahoma" w:hAnsi="Tahoma" w:cs="Tahoma"/>
    </w:rPr>
  </w:style>
  <w:style w:type="character" w:customStyle="1" w:styleId="CharStyle40">
    <w:name w:val="Основной текст (8)"/>
    <w:basedOn w:val="CharStyle39"/>
    <w:rPr>
      <w:lang w:val="ru-RU" w:eastAsia="ru-RU" w:bidi="ru-RU"/>
      <w:w w:val="100"/>
      <w:spacing w:val="0"/>
      <w:color w:val="000000"/>
      <w:position w:val="0"/>
    </w:rPr>
  </w:style>
  <w:style w:type="character" w:customStyle="1" w:styleId="CharStyle42">
    <w:name w:val="Основной текст (9)_"/>
    <w:basedOn w:val="DefaultParagraphFont"/>
    <w:link w:val="Style41"/>
    <w:rPr>
      <w:b w:val="0"/>
      <w:bCs w:val="0"/>
      <w:i w:val="0"/>
      <w:iCs w:val="0"/>
      <w:u w:val="none"/>
      <w:strike w:val="0"/>
      <w:smallCaps w:val="0"/>
      <w:sz w:val="20"/>
      <w:szCs w:val="20"/>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jc w:val="right"/>
      <w:spacing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after="60" w:line="274"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jc w:val="center"/>
      <w:spacing w:before="60" w:line="230"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both"/>
      <w:outlineLvl w:val="0"/>
      <w:spacing w:before="60" w:after="300" w:line="0" w:lineRule="exact"/>
    </w:pPr>
    <w:rPr>
      <w:b w:val="0"/>
      <w:bCs w:val="0"/>
      <w:i/>
      <w:iCs/>
      <w:u w:val="none"/>
      <w:strike w:val="0"/>
      <w:smallCaps w:val="0"/>
      <w:sz w:val="26"/>
      <w:szCs w:val="26"/>
      <w:rFonts w:ascii="Times New Roman" w:eastAsia="Times New Roman" w:hAnsi="Times New Roman" w:cs="Times New Roman"/>
      <w:spacing w:val="-30"/>
    </w:rPr>
  </w:style>
  <w:style w:type="paragraph" w:customStyle="1" w:styleId="Style20">
    <w:name w:val="Основной текст (4)"/>
    <w:basedOn w:val="Normal"/>
    <w:link w:val="CharStyle21"/>
    <w:pPr>
      <w:widowControl w:val="0"/>
      <w:shd w:val="clear" w:color="auto" w:fill="FFFFFF"/>
      <w:jc w:val="right"/>
      <w:spacing w:before="3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4">
    <w:name w:val="Основной текст (6)"/>
    <w:basedOn w:val="Normal"/>
    <w:link w:val="CharStyle25"/>
    <w:pPr>
      <w:widowControl w:val="0"/>
      <w:shd w:val="clear" w:color="auto" w:fill="FFFFFF"/>
      <w:jc w:val="both"/>
      <w:spacing w:line="0" w:lineRule="exact"/>
    </w:pPr>
    <w:rPr>
      <w:b w:val="0"/>
      <w:bCs w:val="0"/>
      <w:i w:val="0"/>
      <w:iCs w:val="0"/>
      <w:u w:val="none"/>
      <w:strike w:val="0"/>
      <w:smallCaps w:val="0"/>
      <w:sz w:val="30"/>
      <w:szCs w:val="30"/>
      <w:rFonts w:ascii="Times New Roman" w:eastAsia="Times New Roman" w:hAnsi="Times New Roman" w:cs="Times New Roman"/>
      <w:spacing w:val="23"/>
    </w:rPr>
  </w:style>
  <w:style w:type="paragraph" w:customStyle="1" w:styleId="Style28">
    <w:name w:val="Основной текст (5)"/>
    <w:basedOn w:val="Normal"/>
    <w:link w:val="CharStyle29"/>
    <w:pPr>
      <w:widowControl w:val="0"/>
      <w:shd w:val="clear" w:color="auto" w:fill="FFFFFF"/>
      <w:spacing w:before="420" w:line="0" w:lineRule="exact"/>
    </w:pPr>
    <w:rPr>
      <w:b w:val="0"/>
      <w:bCs w:val="0"/>
      <w:i w:val="0"/>
      <w:iCs w:val="0"/>
      <w:u w:val="none"/>
      <w:strike w:val="0"/>
      <w:smallCaps w:val="0"/>
      <w:sz w:val="9"/>
      <w:szCs w:val="9"/>
      <w:rFonts w:ascii="Times New Roman" w:eastAsia="Times New Roman" w:hAnsi="Times New Roman" w:cs="Times New Roman"/>
    </w:rPr>
  </w:style>
  <w:style w:type="paragraph" w:customStyle="1" w:styleId="Style31">
    <w:name w:val="Подпись к таблице"/>
    <w:basedOn w:val="Normal"/>
    <w:link w:val="CharStyle32"/>
    <w:pPr>
      <w:widowControl w:val="0"/>
      <w:shd w:val="clear" w:color="auto" w:fill="FFFFFF"/>
      <w:spacing w:line="274" w:lineRule="exact"/>
      <w:ind w:firstLine="540"/>
    </w:pPr>
    <w:rPr>
      <w:b w:val="0"/>
      <w:bCs w:val="0"/>
      <w:i w:val="0"/>
      <w:iCs w:val="0"/>
      <w:u w:val="none"/>
      <w:strike w:val="0"/>
      <w:smallCaps w:val="0"/>
      <w:sz w:val="22"/>
      <w:szCs w:val="22"/>
      <w:rFonts w:ascii="Times New Roman" w:eastAsia="Times New Roman" w:hAnsi="Times New Roman" w:cs="Times New Roman"/>
    </w:rPr>
  </w:style>
  <w:style w:type="paragraph" w:customStyle="1" w:styleId="Style35">
    <w:name w:val="Основной текст (7)"/>
    <w:basedOn w:val="Normal"/>
    <w:link w:val="CharStyle36"/>
    <w:pPr>
      <w:widowControl w:val="0"/>
      <w:shd w:val="clear" w:color="auto" w:fill="FFFFFF"/>
      <w:spacing w:line="274" w:lineRule="exact"/>
    </w:pPr>
    <w:rPr>
      <w:b w:val="0"/>
      <w:bCs w:val="0"/>
      <w:i w:val="0"/>
      <w:iCs w:val="0"/>
      <w:u w:val="none"/>
      <w:strike w:val="0"/>
      <w:smallCaps w:val="0"/>
      <w:sz w:val="22"/>
      <w:szCs w:val="22"/>
      <w:rFonts w:ascii="Times New Roman" w:eastAsia="Times New Roman" w:hAnsi="Times New Roman" w:cs="Times New Roman"/>
      <w:spacing w:val="60"/>
    </w:rPr>
  </w:style>
  <w:style w:type="paragraph" w:customStyle="1" w:styleId="Style38">
    <w:name w:val="Основной текст (8)"/>
    <w:basedOn w:val="Normal"/>
    <w:link w:val="CharStyle39"/>
    <w:pPr>
      <w:widowControl w:val="0"/>
      <w:shd w:val="clear" w:color="auto" w:fill="FFFFFF"/>
      <w:spacing w:line="0" w:lineRule="exact"/>
    </w:pPr>
    <w:rPr>
      <w:b w:val="0"/>
      <w:bCs w:val="0"/>
      <w:i/>
      <w:iCs/>
      <w:u w:val="none"/>
      <w:strike w:val="0"/>
      <w:smallCaps w:val="0"/>
      <w:sz w:val="36"/>
      <w:szCs w:val="36"/>
      <w:rFonts w:ascii="Tahoma" w:eastAsia="Tahoma" w:hAnsi="Tahoma" w:cs="Tahoma"/>
    </w:rPr>
  </w:style>
  <w:style w:type="paragraph" w:customStyle="1" w:styleId="Style41">
    <w:name w:val="Основной текст (9)"/>
    <w:basedOn w:val="Normal"/>
    <w:link w:val="CharStyle42"/>
    <w:pPr>
      <w:widowControl w:val="0"/>
      <w:shd w:val="clear" w:color="auto" w:fill="FFFFFF"/>
      <w:spacing w:after="3420" w:line="254" w:lineRule="exact"/>
      <w:ind w:firstLine="740"/>
    </w:pPr>
    <w:rPr>
      <w:b w:val="0"/>
      <w:bCs w:val="0"/>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