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8" w:after="424"/>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72" w:line="264" w:lineRule="exact"/>
        <w:ind w:left="0" w:right="0" w:firstLine="0"/>
      </w:pPr>
      <w:r>
        <w:rPr>
          <w:rStyle w:val="CharStyle6"/>
        </w:rPr>
        <w:t xml:space="preserve">УПРАВЛЕНИЕ </w:t>
      </w:r>
      <w:r>
        <w:rPr>
          <w:rStyle w:val="CharStyle5"/>
        </w:rPr>
        <w:t>Федеральной антимонопольной службы по Камчатскому краю</w:t>
      </w:r>
    </w:p>
    <w:p>
      <w:pPr>
        <w:pStyle w:val="Style7"/>
        <w:widowControl w:val="0"/>
        <w:keepNext w:val="0"/>
        <w:keepLines w:val="0"/>
        <w:shd w:val="clear" w:color="auto" w:fill="auto"/>
        <w:bidi w:val="0"/>
        <w:spacing w:before="0" w:after="64"/>
        <w:ind w:left="0" w:right="0" w:firstLine="0"/>
      </w:pPr>
      <w:r>
        <w:rPr>
          <w:rStyle w:val="CharStyle9"/>
        </w:rPr>
        <w:t>Ленинградская ул., д. 90, Петропавловск-Камчатский, 683003</w:t>
      </w:r>
    </w:p>
    <w:p>
      <w:pPr>
        <w:pStyle w:val="Style7"/>
        <w:widowControl w:val="0"/>
        <w:keepNext w:val="0"/>
        <w:keepLines w:val="0"/>
        <w:shd w:val="clear" w:color="auto" w:fill="auto"/>
        <w:bidi w:val="0"/>
        <w:spacing w:before="0" w:after="64" w:line="245" w:lineRule="exact"/>
        <w:ind w:left="0" w:right="0" w:firstLine="0"/>
      </w:pPr>
      <w:r>
        <w:rPr>
          <w:rStyle w:val="CharStyle9"/>
        </w:rPr>
        <w:t xml:space="preserve">Тел./факс (4152) 42-58-74 Эл. почта: </w:t>
      </w:r>
      <w:r>
        <w:fldChar w:fldCharType="begin"/>
      </w:r>
      <w:r>
        <w:rPr>
          <w:rStyle w:val="CharStyle9"/>
        </w:rPr>
        <w:instrText> HYPERLINK "mailto:to41@fas.gov.ru" </w:instrText>
      </w:r>
      <w:r>
        <w:fldChar w:fldCharType="separate"/>
      </w:r>
      <w:r>
        <w:rPr>
          <w:rStyle w:val="Hyperlink"/>
          <w:lang w:val="en-US" w:eastAsia="en-US" w:bidi="en-US"/>
        </w:rPr>
        <w:t>to41@fas.gov.ru</w:t>
      </w:r>
      <w:r>
        <w:fldChar w:fldCharType="end"/>
      </w:r>
    </w:p>
    <w:p>
      <w:pPr>
        <w:pStyle w:val="Style10"/>
        <w:widowControl w:val="0"/>
        <w:keepNext/>
        <w:keepLines/>
        <w:shd w:val="clear" w:color="auto" w:fill="auto"/>
        <w:bidi w:val="0"/>
        <w:jc w:val="left"/>
        <w:spacing w:before="0" w:after="1" w:line="240" w:lineRule="exact"/>
        <w:ind w:left="280" w:right="0" w:firstLine="0"/>
      </w:pPr>
      <w:bookmarkStart w:id="0" w:name="bookmark0"/>
      <w:r>
        <w:rPr>
          <w:rStyle w:val="CharStyle12"/>
          <w:i/>
          <w:iCs/>
        </w:rPr>
        <w:t>6&gt;S.H-jLD-t+</w:t>
      </w:r>
      <w:r>
        <w:rPr>
          <w:rStyle w:val="CharStyle13"/>
          <w:i w:val="0"/>
          <w:iCs w:val="0"/>
        </w:rPr>
        <w:t xml:space="preserve"> </w:t>
      </w:r>
      <w:r>
        <w:rPr>
          <w:rStyle w:val="CharStyle14"/>
          <w:i w:val="0"/>
          <w:iCs w:val="0"/>
        </w:rPr>
        <w:t>№</w:t>
      </w:r>
      <w:bookmarkEnd w:id="0"/>
    </w:p>
    <w:p>
      <w:pPr>
        <w:pStyle w:val="Style7"/>
        <w:tabs>
          <w:tab w:leader="underscore" w:pos="2268" w:val="right"/>
          <w:tab w:leader="underscore" w:pos="3862" w:val="left"/>
        </w:tabs>
        <w:widowControl w:val="0"/>
        <w:keepNext w:val="0"/>
        <w:keepLines w:val="0"/>
        <w:shd w:val="clear" w:color="auto" w:fill="auto"/>
        <w:bidi w:val="0"/>
        <w:jc w:val="both"/>
        <w:spacing w:before="0" w:after="0" w:line="200" w:lineRule="exact"/>
        <w:ind w:left="180" w:right="0" w:firstLine="0"/>
      </w:pPr>
      <w:r>
        <w:rPr>
          <w:rStyle w:val="CharStyle9"/>
        </w:rPr>
        <w:t>На №</w:t>
        <w:tab/>
        <w:t>от</w:t>
        <w:tab/>
      </w:r>
    </w:p>
    <w:p>
      <w:pPr>
        <w:pStyle w:val="Style3"/>
        <w:widowControl w:val="0"/>
        <w:keepNext w:val="0"/>
        <w:keepLines w:val="0"/>
        <w:shd w:val="clear" w:color="auto" w:fill="auto"/>
        <w:bidi w:val="0"/>
        <w:jc w:val="left"/>
        <w:spacing w:before="0" w:after="0" w:line="240" w:lineRule="exact"/>
        <w:ind w:left="20" w:right="0" w:firstLine="0"/>
      </w:pPr>
      <w:r>
        <w:rPr>
          <w:rStyle w:val="CharStyle15"/>
        </w:rPr>
        <w:t>Заказчик:</w:t>
      </w:r>
    </w:p>
    <w:p>
      <w:pPr>
        <w:pStyle w:val="Style3"/>
        <w:widowControl w:val="0"/>
        <w:keepNext w:val="0"/>
        <w:keepLines w:val="0"/>
        <w:shd w:val="clear" w:color="auto" w:fill="auto"/>
        <w:bidi w:val="0"/>
        <w:jc w:val="left"/>
        <w:spacing w:before="0" w:after="244" w:line="302" w:lineRule="exact"/>
        <w:ind w:left="20" w:right="380" w:firstLine="0"/>
      </w:pPr>
      <w:r>
        <w:rPr>
          <w:lang w:val="ru-RU" w:eastAsia="ru-RU" w:bidi="ru-RU"/>
          <w:sz w:val="24"/>
          <w:szCs w:val="24"/>
          <w:w w:val="100"/>
          <w:spacing w:val="0"/>
          <w:color w:val="000000"/>
          <w:position w:val="0"/>
        </w:rPr>
        <w:t>Министерство экономического развития и торговли Камчатского края</w:t>
      </w:r>
    </w:p>
    <w:p>
      <w:pPr>
        <w:pStyle w:val="Style3"/>
        <w:widowControl w:val="0"/>
        <w:keepNext w:val="0"/>
        <w:keepLines w:val="0"/>
        <w:shd w:val="clear" w:color="auto" w:fill="auto"/>
        <w:bidi w:val="0"/>
        <w:jc w:val="left"/>
        <w:spacing w:before="0" w:after="240" w:line="298" w:lineRule="exact"/>
        <w:ind w:left="20" w:right="20" w:firstLine="0"/>
      </w:pPr>
      <w:r>
        <w:rPr>
          <w:rStyle w:val="CharStyle15"/>
        </w:rPr>
        <w:t>Единая комиссия Министерства</w:t>
      </w:r>
      <w:r>
        <w:rPr>
          <w:lang w:val="ru-RU" w:eastAsia="ru-RU" w:bidi="ru-RU"/>
          <w:sz w:val="24"/>
          <w:szCs w:val="24"/>
          <w:w w:val="100"/>
          <w:spacing w:val="0"/>
          <w:color w:val="000000"/>
          <w:position w:val="0"/>
        </w:rPr>
        <w:t xml:space="preserve"> </w:t>
      </w:r>
      <w:r>
        <w:rPr>
          <w:rStyle w:val="CharStyle15"/>
        </w:rPr>
        <w:t>экономического развития и торговли</w:t>
      </w:r>
      <w:r>
        <w:rPr>
          <w:lang w:val="ru-RU" w:eastAsia="ru-RU" w:bidi="ru-RU"/>
          <w:sz w:val="24"/>
          <w:szCs w:val="24"/>
          <w:w w:val="100"/>
          <w:spacing w:val="0"/>
          <w:color w:val="000000"/>
          <w:position w:val="0"/>
        </w:rPr>
        <w:t xml:space="preserve"> </w:t>
      </w:r>
      <w:r>
        <w:rPr>
          <w:rStyle w:val="CharStyle15"/>
        </w:rPr>
        <w:t>Камчатского края</w:t>
      </w:r>
      <w:r>
        <w:rPr>
          <w:lang w:val="ru-RU" w:eastAsia="ru-RU" w:bidi="ru-RU"/>
          <w:sz w:val="24"/>
          <w:szCs w:val="24"/>
          <w:w w:val="100"/>
          <w:spacing w:val="0"/>
          <w:color w:val="000000"/>
          <w:position w:val="0"/>
        </w:rPr>
        <w:t xml:space="preserve"> пл. Ленина, д. 1, г. Петропавловск- Камчатский, 683040</w:t>
      </w:r>
    </w:p>
    <w:p>
      <w:pPr>
        <w:pStyle w:val="Style3"/>
        <w:widowControl w:val="0"/>
        <w:keepNext w:val="0"/>
        <w:keepLines w:val="0"/>
        <w:shd w:val="clear" w:color="auto" w:fill="auto"/>
        <w:bidi w:val="0"/>
        <w:jc w:val="left"/>
        <w:spacing w:before="0" w:after="0" w:line="298" w:lineRule="exact"/>
        <w:ind w:left="20" w:right="0" w:firstLine="0"/>
      </w:pPr>
      <w:r>
        <w:rPr>
          <w:rStyle w:val="CharStyle15"/>
        </w:rPr>
        <w:t>Заявитель:</w:t>
      </w:r>
    </w:p>
    <w:p>
      <w:pPr>
        <w:pStyle w:val="Style3"/>
        <w:widowControl w:val="0"/>
        <w:keepNext w:val="0"/>
        <w:keepLines w:val="0"/>
        <w:shd w:val="clear" w:color="auto" w:fill="auto"/>
        <w:bidi w:val="0"/>
        <w:jc w:val="left"/>
        <w:spacing w:before="0" w:after="0" w:line="298" w:lineRule="exact"/>
        <w:ind w:left="20" w:right="20" w:firstLine="0"/>
        <w:sectPr>
          <w:footnotePr>
            <w:pos w:val="pageBottom"/>
            <w:numFmt w:val="decimal"/>
            <w:numRestart w:val="continuous"/>
          </w:footnotePr>
          <w:type w:val="continuous"/>
          <w:pgSz w:w="11906" w:h="16838"/>
          <w:pgMar w:top="783" w:left="1086" w:right="1086" w:bottom="826" w:header="0" w:footer="3" w:gutter="0"/>
          <w:rtlGutter w:val="0"/>
          <w:cols w:num="2" w:space="1450"/>
          <w:noEndnote/>
          <w:docGrid w:linePitch="360"/>
        </w:sectPr>
      </w:pPr>
      <w:r>
        <w:rPr>
          <w:lang w:val="ru-RU" w:eastAsia="ru-RU" w:bidi="ru-RU"/>
          <w:sz w:val="24"/>
          <w:szCs w:val="24"/>
          <w:w w:val="100"/>
          <w:spacing w:val="0"/>
          <w:color w:val="000000"/>
          <w:position w:val="0"/>
        </w:rPr>
        <w:t xml:space="preserve">ООО «ЭйТи Сибирь» ул. Коммунистическая, д. 40, офис 1006, г. Новосибирск, 630007 </w:t>
      </w:r>
      <w:r>
        <w:rPr>
          <w:lang w:val="en-US" w:eastAsia="en-US" w:bidi="en-US"/>
          <w:sz w:val="24"/>
          <w:szCs w:val="24"/>
          <w:w w:val="100"/>
          <w:spacing w:val="0"/>
          <w:color w:val="000000"/>
          <w:position w:val="0"/>
        </w:rPr>
        <w:t xml:space="preserve">e-mail: </w:t>
      </w:r>
      <w:r>
        <w:fldChar w:fldCharType="begin"/>
      </w:r>
      <w:r>
        <w:rPr>
          <w:color w:val="000000"/>
        </w:rPr>
        <w:instrText> HYPERLINK "mailto:gkucheryavin@at-consulting.ru" </w:instrText>
      </w:r>
      <w:r>
        <w:fldChar w:fldCharType="separate"/>
      </w:r>
      <w:r>
        <w:rPr>
          <w:rStyle w:val="Hyperlink"/>
          <w:lang w:val="en-US" w:eastAsia="en-US" w:bidi="en-US"/>
          <w:sz w:val="24"/>
          <w:szCs w:val="24"/>
          <w:w w:val="100"/>
          <w:spacing w:val="0"/>
          <w:position w:val="0"/>
        </w:rPr>
        <w:t>gkucheryavin@at-consulting.ru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2" w:line="240" w:lineRule="exact"/>
        <w:ind w:left="4380" w:right="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left"/>
        <w:spacing w:before="0" w:after="242" w:line="240" w:lineRule="exact"/>
        <w:ind w:left="3620" w:right="0" w:firstLine="0"/>
      </w:pPr>
      <w:r>
        <w:rPr>
          <w:lang w:val="ru-RU" w:eastAsia="ru-RU" w:bidi="ru-RU"/>
          <w:sz w:val="24"/>
          <w:szCs w:val="24"/>
          <w:w w:val="100"/>
          <w:spacing w:val="0"/>
          <w:color w:val="000000"/>
          <w:position w:val="0"/>
        </w:rPr>
        <w:t>по делу №21-06/246-17Ж</w:t>
      </w:r>
    </w:p>
    <w:p>
      <w:pPr>
        <w:pStyle w:val="Style3"/>
        <w:tabs>
          <w:tab w:leader="none" w:pos="6106" w:val="center"/>
          <w:tab w:leader="none" w:pos="9380" w:val="right"/>
        </w:tabs>
        <w:widowControl w:val="0"/>
        <w:keepNext w:val="0"/>
        <w:keepLines w:val="0"/>
        <w:shd w:val="clear" w:color="auto" w:fill="auto"/>
        <w:bidi w:val="0"/>
        <w:jc w:val="both"/>
        <w:spacing w:before="0" w:after="325" w:line="240" w:lineRule="exact"/>
        <w:ind w:left="20" w:right="0" w:firstLine="0"/>
      </w:pPr>
      <w:r>
        <w:rPr>
          <w:lang w:val="ru-RU" w:eastAsia="ru-RU" w:bidi="ru-RU"/>
          <w:sz w:val="24"/>
          <w:szCs w:val="24"/>
          <w:w w:val="100"/>
          <w:spacing w:val="0"/>
          <w:color w:val="000000"/>
          <w:position w:val="0"/>
        </w:rPr>
        <w:t>02 ноября 2017 года</w:t>
        <w:tab/>
        <w:t>г.</w:t>
        <w:tab/>
        <w:t>Петропавловск-Камчатский</w:t>
      </w:r>
    </w:p>
    <w:p>
      <w:pPr>
        <w:pStyle w:val="Style3"/>
        <w:widowControl w:val="0"/>
        <w:keepNext w:val="0"/>
        <w:keepLines w:val="0"/>
        <w:shd w:val="clear" w:color="auto" w:fill="auto"/>
        <w:bidi w:val="0"/>
        <w:jc w:val="left"/>
        <w:spacing w:before="0" w:after="0" w:line="293"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Камчатскому краю по контролю в сфере закупок (далее - Комиссия) в составе: Председателя Комиссии - руководителя управления Светловой И.А., членов Комиссии:</w:t>
      </w:r>
    </w:p>
    <w:p>
      <w:pPr>
        <w:pStyle w:val="Style3"/>
        <w:numPr>
          <w:ilvl w:val="0"/>
          <w:numId w:val="1"/>
        </w:numPr>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 xml:space="preserve"> начальника отдела антимонопольного контроля и закупок Парфирьевой С.Н.,</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главного государственного инспектора отдела антимонопольного контроля и закупок Шихановой Л.Б.,</w:t>
      </w:r>
    </w:p>
    <w:p>
      <w:pPr>
        <w:pStyle w:val="Style3"/>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в присутствии представителей:</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заказчика - Министерства экономического развития и торговли Камчатского края (далее - Заказчик): Морозовой Ю.С. (по доверенности от 01.11.2017 № 36.05/3991), Коваленко О.В. (по доверенности от 01.11.2017 № 36.05/3991),</w:t>
      </w:r>
    </w:p>
    <w:p>
      <w:pPr>
        <w:pStyle w:val="Style3"/>
        <w:numPr>
          <w:ilvl w:val="0"/>
          <w:numId w:val="1"/>
        </w:numPr>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 xml:space="preserve"> единой комиссии Заказчика: Ларионовой О.В. (по приказу от 17.08.2017 № 447-п),</w:t>
      </w:r>
    </w:p>
    <w:p>
      <w:pPr>
        <w:pStyle w:val="Style3"/>
        <w:numPr>
          <w:ilvl w:val="0"/>
          <w:numId w:val="1"/>
        </w:numPr>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xml:space="preserve"> заявителя - ООО «ЭйТи Сибирь» (далее - Заявитель): Кучерявина Г.К. (по доверенности от 31.10.2017 № 21/17-АС),</w:t>
      </w:r>
    </w:p>
    <w:p>
      <w:pPr>
        <w:pStyle w:val="Style3"/>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рассмотрев жалобу Заявителя на действия единой комиссии Заказчика при определении исполнителя путем открытого конкурса на выполнение работ по разработке и внедрению информационной системы для автоматизации процессов формирования, ведения и мониторинга исполнения государственных программ Камчатского края в Министерстве экономического развития и торговли</w:t>
      </w:r>
    </w:p>
    <w:p>
      <w:pPr>
        <w:pStyle w:val="Style18"/>
        <w:widowControl w:val="0"/>
        <w:keepNext/>
        <w:keepLines/>
        <w:shd w:val="clear" w:color="auto" w:fill="auto"/>
        <w:bidi w:val="0"/>
        <w:jc w:val="left"/>
        <w:spacing w:before="0" w:after="0" w:line="260" w:lineRule="exact"/>
        <w:ind w:left="7700" w:right="0" w:firstLine="0"/>
      </w:pPr>
      <w:bookmarkStart w:id="1" w:name="bookmark1"/>
      <w:r>
        <w:rPr>
          <w:lang w:val="ru-RU" w:eastAsia="ru-RU" w:bidi="ru-RU"/>
          <w:w w:val="100"/>
          <w:color w:val="000000"/>
          <w:position w:val="0"/>
        </w:rPr>
        <w:t>029818</w:t>
      </w:r>
      <w:bookmarkEnd w:id="1"/>
    </w:p>
    <w:p>
      <w:pPr>
        <w:pStyle w:val="Style3"/>
        <w:widowControl w:val="0"/>
        <w:keepNext w:val="0"/>
        <w:keepLines w:val="0"/>
        <w:shd w:val="clear" w:color="auto" w:fill="auto"/>
        <w:bidi w:val="0"/>
        <w:jc w:val="both"/>
        <w:spacing w:before="0" w:after="406" w:line="298" w:lineRule="exact"/>
        <w:ind w:left="20" w:right="20" w:firstLine="0"/>
      </w:pPr>
      <w:r>
        <w:rPr>
          <w:lang w:val="ru-RU" w:eastAsia="ru-RU" w:bidi="ru-RU"/>
          <w:sz w:val="24"/>
          <w:szCs w:val="24"/>
          <w:w w:val="100"/>
          <w:spacing w:val="0"/>
          <w:color w:val="000000"/>
          <w:position w:val="0"/>
        </w:rPr>
        <w:t>Камчатского края (закупка № 0138200004417000009),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3"/>
        <w:widowControl w:val="0"/>
        <w:keepNext w:val="0"/>
        <w:keepLines w:val="0"/>
        <w:shd w:val="clear" w:color="auto" w:fill="auto"/>
        <w:bidi w:val="0"/>
        <w:jc w:val="left"/>
        <w:spacing w:before="0" w:after="127" w:line="240" w:lineRule="exact"/>
        <w:ind w:left="4280" w:right="0" w:firstLine="0"/>
      </w:pPr>
      <w:r>
        <w:rPr>
          <w:lang w:val="ru-RU" w:eastAsia="ru-RU" w:bidi="ru-RU"/>
          <w:sz w:val="24"/>
          <w:szCs w:val="24"/>
          <w:w w:val="100"/>
          <w:spacing w:val="0"/>
          <w:color w:val="000000"/>
          <w:position w:val="0"/>
        </w:rPr>
        <w:t>УСТАНОВИЛА:</w:t>
      </w:r>
    </w:p>
    <w:p>
      <w:pPr>
        <w:pStyle w:val="Style3"/>
        <w:numPr>
          <w:ilvl w:val="0"/>
          <w:numId w:val="3"/>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Заказчиком начата процедура определения исполнителя путем открытого конкурса (далее - ОК) на выполнение работ по разработке и внедрению информационной системы для автоматизации процессов формирования, ведения и мониторинга исполнения государственных программ Камчатского края в Министерстве экономического развития и торговли Камчатского края (закупка № 0138200004417000009) (далее - Закупка). 02.10.2017 внесены изменения в документацию о Закупке (в пункт 5.4 проекта контракта); начальная (максимальная) цена контракта (далее - НМЦК) установлена в размере 11 700 000,00 рублей.</w:t>
      </w:r>
    </w:p>
    <w:p>
      <w:pPr>
        <w:pStyle w:val="Style3"/>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Согласно протоколу вскрытия конвертов с заявками на участие в ОК и открытия доступа к поданным в форме электронных документов заявкам на участие в ОК от 16.10.2017 подано пять заявок.</w:t>
      </w:r>
    </w:p>
    <w:p>
      <w:pPr>
        <w:pStyle w:val="Style3"/>
        <w:widowControl w:val="0"/>
        <w:keepNext w:val="0"/>
        <w:keepLines w:val="0"/>
        <w:shd w:val="clear" w:color="auto" w:fill="auto"/>
        <w:bidi w:val="0"/>
        <w:jc w:val="both"/>
        <w:spacing w:before="0" w:after="240" w:line="298" w:lineRule="exact"/>
        <w:ind w:left="20" w:right="20" w:firstLine="540"/>
      </w:pPr>
      <w:r>
        <w:rPr>
          <w:lang w:val="ru-RU" w:eastAsia="ru-RU" w:bidi="ru-RU"/>
          <w:sz w:val="24"/>
          <w:szCs w:val="24"/>
          <w:w w:val="100"/>
          <w:spacing w:val="0"/>
          <w:color w:val="000000"/>
          <w:position w:val="0"/>
        </w:rPr>
        <w:t>В соответствии с протоколом рассмотрения и оценки заявок на участие в ОК от 18.10.2017 победителем ОК признано ПАО междугородной и международной электрической связи «Ростелеком».</w:t>
      </w:r>
    </w:p>
    <w:p>
      <w:pPr>
        <w:pStyle w:val="Style3"/>
        <w:numPr>
          <w:ilvl w:val="0"/>
          <w:numId w:val="5"/>
        </w:numPr>
        <w:widowControl w:val="0"/>
        <w:keepNext w:val="0"/>
        <w:keepLines w:val="0"/>
        <w:shd w:val="clear" w:color="auto" w:fill="auto"/>
        <w:bidi w:val="0"/>
        <w:jc w:val="both"/>
        <w:spacing w:before="0" w:after="244" w:line="298" w:lineRule="exact"/>
        <w:ind w:left="20" w:right="20" w:firstLine="720"/>
      </w:pPr>
      <w:r>
        <w:rPr>
          <w:lang w:val="ru-RU" w:eastAsia="ru-RU" w:bidi="ru-RU"/>
          <w:sz w:val="24"/>
          <w:szCs w:val="24"/>
          <w:w w:val="100"/>
          <w:spacing w:val="0"/>
          <w:color w:val="000000"/>
          <w:position w:val="0"/>
        </w:rPr>
        <w:t xml:space="preserve"> в Камчатское У ФАС России поступила жалоба Заявителя на действия единой комиссии Заказчика, которая, по мнению Заявителя, в нарушение порядка оценки заявок по нестоимостным критериям оценила наличие у него опыта только по четырем успешно исполненным контрактам/договорам сопоставимого характера и объема, тогда как было представлено двадцать таких контрактов/договоров. Данные действия единой комиссии Заказчика не позволили Заявителю стать победителем данной закупки.</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Заказчик с доводом жалобы не согласился, представил письменные возражения от 01.11.2017 № 34.04/3983, пояснив следующее.</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Для оценки заявок на участие ОК использовались два критерия: цена контракта, квалификация участников закупки, в том числе опыт участника по успешной поставке товара, выполнению работ, оказанию услуг сопоставимого характера и объема.</w:t>
      </w:r>
    </w:p>
    <w:p>
      <w:pPr>
        <w:pStyle w:val="Style3"/>
        <w:widowControl w:val="0"/>
        <w:keepNext w:val="0"/>
        <w:keepLines w:val="0"/>
        <w:shd w:val="clear" w:color="auto" w:fill="auto"/>
        <w:bidi w:val="0"/>
        <w:jc w:val="both"/>
        <w:spacing w:before="0" w:after="236" w:line="293" w:lineRule="exact"/>
        <w:ind w:left="20" w:right="20" w:firstLine="720"/>
      </w:pPr>
      <w:r>
        <w:rPr>
          <w:lang w:val="ru-RU" w:eastAsia="ru-RU" w:bidi="ru-RU"/>
          <w:sz w:val="24"/>
          <w:szCs w:val="24"/>
          <w:w w:val="100"/>
          <w:spacing w:val="0"/>
          <w:color w:val="000000"/>
          <w:position w:val="0"/>
        </w:rPr>
        <w:t>Единая комиссия Заказчика, рассмотрев двадцать договоров, представленных Заявителем, в двенадцати не обнаружила подтверждения оказания услуг (выполненных работ) Заявителем по автоматизации деятельности именно государственных и муниципальных органов власти. Представленные документы подтверждают лишь выполнение услуг (работ) между двумя организациями, ни одна из которых не является органом государственной или муниципальной власти. В актах сдачи-приемки выполненных работ отсутствуют подтверждение приема оказанных услуг (выполненных работ) именно органами государственной или муниципальной власти. По двум договорам заказчики не являются органами государственной или муниципальной власти. По двум договорам отсутствует информация (номер извещения о проведении аукциона и т.д.), позволяющая определить успешность выполнения данных договоров.</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Документация о Закупке разрабатывается Заказчиком самостоятельно в соответствии с требованиями к содержанию документации о Закупке, установленными положениями Закона о контрактной системе и действующим законодательством Российской Федерации.</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пункту 9 части 1 статьи 50 Закона о контрактной системе конкурсная документация наряду с информацией, указанной в извещении о проведении ОК, должна содержать критерии оценки заявок на участие в ОК, величины значимости этих критериев, порядок рассмотрения и оценки заявок на участие в ОК в соответствии с Законом о контрактной системе.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соответствии с частями 5, 7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Постановлением Правительства Российской Федерации от 28.11.2013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данных Правил,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В соответствии с приложением к Правилам, для работ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 применяются минимальная значимость стоимостных критериев оценки - 30%, максимальная значимость нестоимостных критериев оценки - 70%.</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Пунктом 27 Правил установлено, что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в том числе</w:t>
      </w:r>
    </w:p>
    <w:p>
      <w:pPr>
        <w:pStyle w:val="Style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опыт участника по успешной поставке товара, выполнению работ, оказанию услуг сопоставимого характера и объема;</w:t>
      </w:r>
    </w:p>
    <w:p>
      <w:pPr>
        <w:pStyle w:val="Style3"/>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обеспеченность участника закупки трудовыми ресурсами.</w:t>
      </w:r>
    </w:p>
    <w:p>
      <w:pPr>
        <w:pStyle w:val="Style3"/>
        <w:widowControl w:val="0"/>
        <w:keepNext w:val="0"/>
        <w:keepLines w:val="0"/>
        <w:shd w:val="clear" w:color="auto" w:fill="auto"/>
        <w:bidi w:val="0"/>
        <w:jc w:val="both"/>
        <w:spacing w:before="0" w:after="229" w:line="293" w:lineRule="exact"/>
        <w:ind w:left="20" w:right="20" w:firstLine="720"/>
      </w:pPr>
      <w:r>
        <w:rPr>
          <w:lang w:val="ru-RU" w:eastAsia="ru-RU" w:bidi="ru-RU"/>
          <w:sz w:val="24"/>
          <w:szCs w:val="24"/>
          <w:w w:val="100"/>
          <w:spacing w:val="0"/>
          <w:color w:val="000000"/>
          <w:position w:val="0"/>
        </w:rPr>
        <w:t>В соответствии с пунктом 11 Правил для оценки заявок (предложений) по каждому критерию оценки используется 100-бальная шкала оценки.</w:t>
      </w:r>
    </w:p>
    <w:p>
      <w:pPr>
        <w:pStyle w:val="Style3"/>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В части 17 конкурсной документации установлен порядок оценки заявок на участие в ОК.</w:t>
      </w:r>
    </w:p>
    <w:p>
      <w:pPr>
        <w:pStyle w:val="Style3"/>
        <w:widowControl w:val="0"/>
        <w:keepNext w:val="0"/>
        <w:keepLines w:val="0"/>
        <w:shd w:val="clear" w:color="auto" w:fill="auto"/>
        <w:bidi w:val="0"/>
        <w:jc w:val="both"/>
        <w:spacing w:before="0" w:after="0" w:line="240" w:lineRule="exact"/>
        <w:ind w:left="20" w:right="0" w:firstLine="720"/>
      </w:pPr>
      <w:r>
        <w:rPr>
          <w:lang w:val="ru-RU" w:eastAsia="ru-RU" w:bidi="ru-RU"/>
          <w:sz w:val="24"/>
          <w:szCs w:val="24"/>
          <w:w w:val="100"/>
          <w:spacing w:val="0"/>
          <w:color w:val="000000"/>
          <w:position w:val="0"/>
        </w:rPr>
        <w:t>Показатели критериев и их значимость при оценке заявок:</w:t>
      </w:r>
    </w:p>
    <w:p>
      <w:pPr>
        <w:pStyle w:val="Style3"/>
        <w:numPr>
          <w:ilvl w:val="0"/>
          <w:numId w:val="7"/>
        </w:numPr>
        <w:widowControl w:val="0"/>
        <w:keepNext w:val="0"/>
        <w:keepLines w:val="0"/>
        <w:shd w:val="clear" w:color="auto" w:fill="auto"/>
        <w:bidi w:val="0"/>
        <w:jc w:val="both"/>
        <w:spacing w:before="0" w:after="0" w:line="293" w:lineRule="exact"/>
        <w:ind w:left="20" w:right="0" w:firstLine="720"/>
      </w:pPr>
      <w:r>
        <w:rPr>
          <w:lang w:val="ru-RU" w:eastAsia="ru-RU" w:bidi="ru-RU"/>
          <w:sz w:val="24"/>
          <w:szCs w:val="24"/>
          <w:w w:val="100"/>
          <w:spacing w:val="0"/>
          <w:color w:val="000000"/>
          <w:position w:val="0"/>
        </w:rPr>
        <w:t xml:space="preserve"> цена контракта - 30%,</w:t>
      </w:r>
    </w:p>
    <w:p>
      <w:pPr>
        <w:pStyle w:val="Style3"/>
        <w:numPr>
          <w:ilvl w:val="0"/>
          <w:numId w:val="7"/>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- 70%:</w:t>
      </w:r>
    </w:p>
    <w:p>
      <w:pPr>
        <w:pStyle w:val="Style3"/>
        <w:numPr>
          <w:ilvl w:val="1"/>
          <w:numId w:val="7"/>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опыт участника по успешной поставке товара, выполнению работ, оказанию услуг сопоставимого характера и объема. Значимость показателя - 70%.</w:t>
      </w:r>
    </w:p>
    <w:p>
      <w:pPr>
        <w:pStyle w:val="Style3"/>
        <w:numPr>
          <w:ilvl w:val="1"/>
          <w:numId w:val="7"/>
        </w:numPr>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 обеспеченность участника закупки трудовыми ресурсами. Значимость показателя - 30%.</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По показателю 2.1 оценке подлежат </w:t>
      </w:r>
      <w:r>
        <w:rPr>
          <w:rStyle w:val="CharStyle20"/>
        </w:rPr>
        <w:t>успешно</w:t>
      </w:r>
      <w:r>
        <w:rPr>
          <w:lang w:val="ru-RU" w:eastAsia="ru-RU" w:bidi="ru-RU"/>
          <w:sz w:val="24"/>
          <w:szCs w:val="24"/>
          <w:w w:val="100"/>
          <w:spacing w:val="0"/>
          <w:color w:val="000000"/>
          <w:position w:val="0"/>
        </w:rPr>
        <w:t xml:space="preserve"> исполненные контракты/договора </w:t>
      </w:r>
      <w:r>
        <w:rPr>
          <w:rStyle w:val="CharStyle20"/>
        </w:rPr>
        <w:t>сопоставимого характера</w:t>
      </w:r>
      <w:r>
        <w:rPr>
          <w:lang w:val="ru-RU" w:eastAsia="ru-RU" w:bidi="ru-RU"/>
          <w:sz w:val="24"/>
          <w:szCs w:val="24"/>
          <w:w w:val="100"/>
          <w:spacing w:val="0"/>
          <w:color w:val="000000"/>
          <w:position w:val="0"/>
        </w:rPr>
        <w:t xml:space="preserve"> и объема за период с 2013 по 2017 годы включительно.</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Под </w:t>
      </w:r>
      <w:r>
        <w:rPr>
          <w:rStyle w:val="CharStyle20"/>
        </w:rPr>
        <w:t>успешным выполнением</w:t>
      </w:r>
      <w:r>
        <w:rPr>
          <w:lang w:val="ru-RU" w:eastAsia="ru-RU" w:bidi="ru-RU"/>
          <w:sz w:val="24"/>
          <w:szCs w:val="24"/>
          <w:w w:val="100"/>
          <w:spacing w:val="0"/>
          <w:color w:val="000000"/>
          <w:position w:val="0"/>
        </w:rPr>
        <w:t xml:space="preserve"> работ, оказанием услуг </w:t>
      </w:r>
      <w:r>
        <w:rPr>
          <w:rStyle w:val="CharStyle20"/>
        </w:rPr>
        <w:t>сопоставимого характера</w:t>
      </w:r>
      <w:r>
        <w:rPr>
          <w:lang w:val="ru-RU" w:eastAsia="ru-RU" w:bidi="ru-RU"/>
          <w:sz w:val="24"/>
          <w:szCs w:val="24"/>
          <w:w w:val="100"/>
          <w:spacing w:val="0"/>
          <w:color w:val="000000"/>
          <w:position w:val="0"/>
        </w:rPr>
        <w:t xml:space="preserve"> и объема понимается </w:t>
      </w:r>
      <w:r>
        <w:rPr>
          <w:rStyle w:val="CharStyle20"/>
        </w:rPr>
        <w:t>выполнение в качестве основного исполнителя (генерального подрядчика) и/или соисполнителя работ,</w:t>
      </w:r>
      <w:r>
        <w:rPr>
          <w:lang w:val="ru-RU" w:eastAsia="ru-RU" w:bidi="ru-RU"/>
          <w:sz w:val="24"/>
          <w:szCs w:val="24"/>
          <w:w w:val="100"/>
          <w:spacing w:val="0"/>
          <w:color w:val="000000"/>
          <w:position w:val="0"/>
        </w:rPr>
        <w:t xml:space="preserve"> оказание услуг по созданию, разработке, внедрению и/или развитию, и/или модернизации, и/или доработке автоматизированных информационных систем для автоматизации </w:t>
      </w:r>
      <w:r>
        <w:rPr>
          <w:rStyle w:val="CharStyle20"/>
        </w:rPr>
        <w:t>деятельности государственных и муниципальных органов власти ...</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Оцениваются предложения участников Закупки, которые подтверждены документально.</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Для оценки заявок (предложений) по критерию оценки «квалификация участников закупки», используется 100-балльная шкала оценки.</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Расчет количества баллов, присуждаемых по показателям критерия оценки «квалификация участников закупки» осуществляется в соответствии с формулами расчетов.</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Участникам Закупки, предоставившим документы, «подтверждающие наличие у них опыта по успешному выполнению работ, оказанию услуг сопоставимого характера и объема с предметом данного конкурса за период с 2013 года по 2017 год включительно» присваиваются баллы в соответствии со шкалой оценки, установленной в конкурсной документации.</w:t>
      </w:r>
    </w:p>
    <w:p>
      <w:pPr>
        <w:pStyle w:val="Style3"/>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 xml:space="preserve">Предложение участника закупки оценивается путем присуждения баллов пропорционально уменьшению количества документов, подтверждающих «опыт по успешному выполнению работ, оказанию услуг сопоставимого характера и объема с предметом данного конкурса за период с 2013 года по 2017 год включительно», по формуле: НЦБ1 = КЗ х 100 х </w:t>
      </w:r>
      <w:r>
        <w:rPr>
          <w:lang w:val="en-US" w:eastAsia="en-US" w:bidi="en-US"/>
          <w:sz w:val="24"/>
          <w:szCs w:val="24"/>
          <w:w w:val="100"/>
          <w:spacing w:val="0"/>
          <w:color w:val="000000"/>
          <w:position w:val="0"/>
        </w:rPr>
        <w:t xml:space="preserve">(Ki/Kmax), </w:t>
      </w:r>
      <w:r>
        <w:rPr>
          <w:lang w:val="ru-RU" w:eastAsia="ru-RU" w:bidi="ru-RU"/>
          <w:sz w:val="24"/>
          <w:szCs w:val="24"/>
          <w:w w:val="100"/>
          <w:spacing w:val="0"/>
          <w:color w:val="000000"/>
          <w:position w:val="0"/>
        </w:rPr>
        <w:t xml:space="preserve">где НЦБ1 - количество баллов, присуждаемых участнику закупки по показателю критерия оценки; </w:t>
      </w:r>
      <w:r>
        <w:rPr>
          <w:lang w:val="en-US" w:eastAsia="en-US" w:bidi="en-US"/>
          <w:sz w:val="24"/>
          <w:szCs w:val="24"/>
          <w:w w:val="100"/>
          <w:spacing w:val="0"/>
          <w:color w:val="000000"/>
          <w:position w:val="0"/>
        </w:rPr>
        <w:t xml:space="preserve">Ki </w:t>
      </w:r>
      <w:r>
        <w:rPr>
          <w:lang w:val="ru-RU" w:eastAsia="ru-RU" w:bidi="ru-RU"/>
          <w:sz w:val="24"/>
          <w:szCs w:val="24"/>
          <w:w w:val="100"/>
          <w:spacing w:val="0"/>
          <w:color w:val="000000"/>
          <w:position w:val="0"/>
        </w:rPr>
        <w:t>- предложение участника закупки (количество баллов), заявка (предложение) которого оценивается; Кшах - максимальное предложение (количество баллов) из предложений по показателю критерия оценки, сделанных участниками закупки.</w:t>
      </w:r>
    </w:p>
    <w:p>
      <w:pPr>
        <w:pStyle w:val="Style3"/>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Таким образом, конкурсная документация содержит критерии оценки заявок на участие в ОК, величины значимости этих критериев, порядок рассмотрения и оценки заявок на участие в ОК в соответствии с Законом о контрактной системе.</w:t>
      </w:r>
    </w:p>
    <w:p>
      <w:pPr>
        <w:pStyle w:val="Style3"/>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Согласно протоколу рассмотрения и оценки заявок на участие в ОК от</w:t>
      </w:r>
    </w:p>
    <w:p>
      <w:pPr>
        <w:pStyle w:val="Style3"/>
        <w:numPr>
          <w:ilvl w:val="0"/>
          <w:numId w:val="9"/>
        </w:numPr>
        <w:tabs>
          <w:tab w:leader="none" w:pos="1326"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единая комиссия Заказчика осуществила оценку заявок на участие в конкурсе для выявления победителя конкурса на основе критериев, указанных в конкурсной документации. На основании результатов оценки заявок на участие в конкурсе единая комиссия Заказчика присвоила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присвоен первый номер.</w:t>
      </w:r>
    </w:p>
    <w:p>
      <w:pPr>
        <w:pStyle w:val="Style3"/>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Следовательно, довод Заявителя о нарушении единой комиссией Заказчика порядка оценки его заявки по нестоимостным критериям, не подтвердился.</w:t>
      </w:r>
    </w:p>
    <w:p>
      <w:pPr>
        <w:pStyle w:val="Style3"/>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Представители Заказчика, единой комиссии Заказчика на заседании Комиссии пояснили, что Заявитель в целях подтверждения опыта участника по успешной поставке товара, выполнению работ, оказанию услуг сопоставимого характера и объема представил двадцать договоров. Единая комиссия Заказчика при оценке заявок по данному показателю критерия: квалификация участников закупки, не учла шестнадцать договоров, поскольку не обнаружила подтверждения оказания услуг (выполненных работ) Заявителем по автоматизации деятельности именно государственных и муниципальных органов власти. Представленные документы подтверждают лишь выполнение услуг (работ) между двумя организациями, ни одна из которых не является органом государственной или муниципальной власти. В актах сдачи-приемки выполненных работ отсутствуют подтверждения приема оказанных услуг (выполненных работ) именно органами государственной или муниципальной власти. По двум договорам заказчики не являются органами государственной или муниципальной власти. По двум договорам отсутствует информация (номер извещения о проведении аукциона и т.д.), позволяющая определить успешность выполнения данных договоров.</w:t>
      </w:r>
    </w:p>
    <w:p>
      <w:pPr>
        <w:pStyle w:val="Style3"/>
        <w:widowControl w:val="0"/>
        <w:keepNext w:val="0"/>
        <w:keepLines w:val="0"/>
        <w:shd w:val="clear" w:color="auto" w:fill="auto"/>
        <w:bidi w:val="0"/>
        <w:jc w:val="both"/>
        <w:spacing w:before="0" w:after="244" w:line="298" w:lineRule="exact"/>
        <w:ind w:left="20" w:right="20" w:firstLine="720"/>
      </w:pPr>
      <w:r>
        <w:rPr>
          <w:lang w:val="ru-RU" w:eastAsia="ru-RU" w:bidi="ru-RU"/>
          <w:sz w:val="24"/>
          <w:szCs w:val="24"/>
          <w:w w:val="100"/>
          <w:spacing w:val="0"/>
          <w:color w:val="000000"/>
          <w:position w:val="0"/>
        </w:rPr>
        <w:t>Вместе с тем, в соответствии с частью 6 статьи 106 Закона о контрактной системе Комиссия не рассматривает довод жалобы в отношении результатов оценки заявок на участие в ОК по нестоимостным критериям оценки заявок. При этом, учитывая положения частей 1 и 2 статьи 105 Закона о контрактной системе, Заявитель вправе обжаловать результаты оценки заявок в судебном порядке.</w:t>
      </w:r>
    </w:p>
    <w:p>
      <w:pPr>
        <w:pStyle w:val="Style3"/>
        <w:widowControl w:val="0"/>
        <w:keepNext w:val="0"/>
        <w:keepLines w:val="0"/>
        <w:shd w:val="clear" w:color="auto" w:fill="auto"/>
        <w:bidi w:val="0"/>
        <w:jc w:val="both"/>
        <w:spacing w:before="0" w:after="0" w:line="293" w:lineRule="exact"/>
        <w:ind w:left="20" w:right="20" w:firstLine="720"/>
        <w:sectPr>
          <w:type w:val="continuous"/>
          <w:pgSz w:w="11906" w:h="16838"/>
          <w:pgMar w:top="767" w:left="1139" w:right="1139" w:bottom="1569" w:header="0" w:footer="3" w:gutter="197"/>
          <w:rtlGutter w:val="0"/>
          <w:cols w:space="720"/>
          <w:noEndnote/>
          <w:docGrid w:linePitch="360"/>
        </w:sectPr>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Административным регламентом, утвержденным приказом ФАС России от 19.11.2014 № 727/14, Комиссия</w:t>
      </w:r>
    </w:p>
    <w:p>
      <w:pPr>
        <w:pStyle w:val="Style3"/>
        <w:widowControl w:val="0"/>
        <w:keepNext w:val="0"/>
        <w:keepLines w:val="0"/>
        <w:shd w:val="clear" w:color="auto" w:fill="auto"/>
        <w:bidi w:val="0"/>
        <w:jc w:val="left"/>
        <w:spacing w:before="0" w:after="0" w:line="240" w:lineRule="exact"/>
        <w:ind w:left="0" w:right="0" w:firstLine="0"/>
        <w:sectPr>
          <w:pgSz w:w="11906" w:h="16838"/>
          <w:pgMar w:top="419" w:left="5849" w:right="4601" w:bottom="12827" w:header="0" w:footer="3" w:gutter="0"/>
          <w:rtlGutter w:val="0"/>
          <w:cols w:space="720"/>
          <w:noEndnote/>
          <w:docGrid w:linePitch="360"/>
        </w:sectPr>
      </w:pPr>
      <w:r>
        <w:rPr>
          <w:lang w:val="ru-RU" w:eastAsia="ru-RU" w:bidi="ru-RU"/>
          <w:sz w:val="24"/>
          <w:szCs w:val="24"/>
          <w:w w:val="100"/>
          <w:spacing w:val="0"/>
          <w:color w:val="000000"/>
          <w:position w:val="0"/>
        </w:rPr>
        <w:t>РЕШИЛА:</w:t>
      </w:r>
    </w:p>
    <w:p>
      <w:pPr>
        <w:pStyle w:val="Style3"/>
        <w:framePr w:w="4875" w:h="240" w:hSpace="102" w:vSpace="341" w:wrap="around" w:vAnchor="text" w:hAnchor="margin" w:x="4515" w:y="582"/>
        <w:widowControl w:val="0"/>
        <w:keepNext w:val="0"/>
        <w:keepLines w:val="0"/>
        <w:shd w:val="clear" w:color="auto" w:fill="auto"/>
        <w:bidi w:val="0"/>
        <w:jc w:val="left"/>
        <w:spacing w:before="0" w:after="0" w:line="220" w:lineRule="exact"/>
        <w:ind w:left="0" w:right="0" w:firstLine="0"/>
      </w:pPr>
      <w:r>
        <w:rPr>
          <w:rStyle w:val="CharStyle21"/>
          <w:spacing w:val="0"/>
        </w:rPr>
        <w:t>обжаловано в судебном порядке в течение</w:t>
      </w:r>
    </w:p>
    <w:p>
      <w:pPr>
        <w:pStyle w:val="Style3"/>
        <w:widowControl w:val="0"/>
        <w:keepNext w:val="0"/>
        <w:keepLines w:val="0"/>
        <w:shd w:val="clear" w:color="auto" w:fill="auto"/>
        <w:bidi w:val="0"/>
        <w:jc w:val="left"/>
        <w:spacing w:before="0" w:after="261" w:line="240" w:lineRule="exact"/>
        <w:ind w:left="0" w:right="0" w:firstLine="720"/>
      </w:pPr>
      <w:r>
        <w:rPr>
          <w:lang w:val="ru-RU" w:eastAsia="ru-RU" w:bidi="ru-RU"/>
          <w:sz w:val="24"/>
          <w:szCs w:val="24"/>
          <w:w w:val="100"/>
          <w:spacing w:val="0"/>
          <w:color w:val="000000"/>
          <w:position w:val="0"/>
        </w:rPr>
        <w:t>Признать жалобу необоснованной.</w:t>
      </w:r>
    </w:p>
    <w:p>
      <w:pPr>
        <w:pStyle w:val="Style3"/>
        <w:widowControl w:val="0"/>
        <w:keepNext w:val="0"/>
        <w:keepLines w:val="0"/>
        <w:shd w:val="clear" w:color="auto" w:fill="auto"/>
        <w:bidi w:val="0"/>
        <w:jc w:val="left"/>
        <w:spacing w:before="0" w:after="406" w:line="298" w:lineRule="exact"/>
        <w:ind w:left="0" w:right="0" w:firstLine="720"/>
      </w:pPr>
      <w:r>
        <w:rPr>
          <w:lang w:val="ru-RU" w:eastAsia="ru-RU" w:bidi="ru-RU"/>
          <w:sz w:val="24"/>
          <w:szCs w:val="24"/>
          <w:w w:val="100"/>
          <w:spacing w:val="0"/>
          <w:color w:val="000000"/>
          <w:position w:val="0"/>
        </w:rPr>
        <w:t>Настоящее решение может быть трех месяцев со дня его принятия.</w:t>
      </w:r>
    </w:p>
    <w:p>
      <w:pPr>
        <w:pStyle w:val="Style3"/>
        <w:widowControl w:val="0"/>
        <w:keepNext w:val="0"/>
        <w:keepLines w:val="0"/>
        <w:shd w:val="clear" w:color="auto" w:fill="auto"/>
        <w:bidi w:val="0"/>
        <w:spacing w:before="0" w:after="113" w:line="240" w:lineRule="exact"/>
        <w:ind w:left="6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1760" w:right="0" w:firstLine="0"/>
      </w:pPr>
      <w:r>
        <w:rPr>
          <w:lang w:val="ru-RU" w:eastAsia="ru-RU" w:bidi="ru-RU"/>
          <w:sz w:val="24"/>
          <w:szCs w:val="24"/>
          <w:w w:val="100"/>
          <w:spacing w:val="0"/>
          <w:color w:val="000000"/>
          <w:position w:val="0"/>
        </w:rPr>
        <w:t>Члены комиссии:</w:t>
      </w:r>
    </w:p>
    <w:sectPr>
      <w:type w:val="continuous"/>
      <w:pgSz w:w="11906" w:h="16838"/>
      <w:pgMar w:top="419" w:left="1251" w:right="5821" w:bottom="128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9.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18.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6">
    <w:name w:val="Основной текст + 13 pt"/>
    <w:basedOn w:val="CharStyle4"/>
    <w:rPr>
      <w:lang w:val="ru-RU" w:eastAsia="ru-RU" w:bidi="ru-RU"/>
      <w:sz w:val="26"/>
      <w:szCs w:val="26"/>
      <w:w w:val="100"/>
      <w:spacing w:val="0"/>
      <w:color w:val="000000"/>
      <w:position w:val="0"/>
    </w:rPr>
  </w:style>
  <w:style w:type="character" w:customStyle="1" w:styleId="CharStyle8">
    <w:name w:val="Основной текст (2)_"/>
    <w:basedOn w:val="DefaultParagraphFont"/>
    <w:link w:val="Style7"/>
    <w:rPr>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Заголовок №2_"/>
    <w:basedOn w:val="DefaultParagraphFont"/>
    <w:link w:val="Style10"/>
    <w:rPr>
      <w:lang w:val="en-US" w:eastAsia="en-US" w:bidi="en-US"/>
      <w:b w:val="0"/>
      <w:bCs w:val="0"/>
      <w:i/>
      <w:iCs/>
      <w:u w:val="none"/>
      <w:strike w:val="0"/>
      <w:smallCaps w:val="0"/>
      <w:rFonts w:ascii="Times New Roman" w:eastAsia="Times New Roman" w:hAnsi="Times New Roman" w:cs="Times New Roman"/>
      <w:w w:val="66"/>
      <w:spacing w:val="30"/>
    </w:rPr>
  </w:style>
  <w:style w:type="character" w:customStyle="1" w:styleId="CharStyle12">
    <w:name w:val="Заголовок №2"/>
    <w:basedOn w:val="CharStyle11"/>
    <w:rPr>
      <w:u w:val="single"/>
      <w:sz w:val="24"/>
      <w:szCs w:val="24"/>
      <w:color w:val="000000"/>
      <w:position w:val="0"/>
    </w:rPr>
  </w:style>
  <w:style w:type="character" w:customStyle="1" w:styleId="CharStyle13">
    <w:name w:val="Заголовок №2 + Book Antiqua,10,5 pt,Полужирный,Не курсив,Интервал 0 pt,Масштаб 100%"/>
    <w:basedOn w:val="CharStyle11"/>
    <w:rPr>
      <w:b/>
      <w:bCs/>
      <w:i/>
      <w:iCs/>
      <w:sz w:val="21"/>
      <w:szCs w:val="21"/>
      <w:rFonts w:ascii="Book Antiqua" w:eastAsia="Book Antiqua" w:hAnsi="Book Antiqua" w:cs="Book Antiqua"/>
      <w:w w:val="100"/>
      <w:spacing w:val="0"/>
      <w:color w:val="000000"/>
      <w:position w:val="0"/>
    </w:rPr>
  </w:style>
  <w:style w:type="character" w:customStyle="1" w:styleId="CharStyle14">
    <w:name w:val="Заголовок №2 + Book Antiqua,10,5 pt,Полужирный,Не курсив,Интервал 0 pt,Масштаб 100%"/>
    <w:basedOn w:val="CharStyle11"/>
    <w:rPr>
      <w:lang w:val="ru-RU" w:eastAsia="ru-RU" w:bidi="ru-RU"/>
      <w:b/>
      <w:bCs/>
      <w:i/>
      <w:iCs/>
      <w:sz w:val="21"/>
      <w:szCs w:val="21"/>
      <w:rFonts w:ascii="Book Antiqua" w:eastAsia="Book Antiqua" w:hAnsi="Book Antiqua" w:cs="Book Antiqua"/>
      <w:w w:val="100"/>
      <w:spacing w:val="0"/>
      <w:color w:val="000000"/>
      <w:position w:val="0"/>
    </w:rPr>
  </w:style>
  <w:style w:type="character" w:customStyle="1" w:styleId="CharStyle15">
    <w:name w:val="Основной текст"/>
    <w:basedOn w:val="CharStyle4"/>
    <w:rPr>
      <w:lang w:val="ru-RU" w:eastAsia="ru-RU" w:bidi="ru-RU"/>
      <w:u w:val="single"/>
      <w:sz w:val="24"/>
      <w:szCs w:val="24"/>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rFonts w:ascii="Times New Roman" w:eastAsia="Times New Roman" w:hAnsi="Times New Roman" w:cs="Times New Roman"/>
    </w:rPr>
  </w:style>
  <w:style w:type="character" w:customStyle="1" w:styleId="CharStyle19">
    <w:name w:val="Заголовок №1_"/>
    <w:basedOn w:val="DefaultParagraphFont"/>
    <w:link w:val="Style18"/>
    <w:rPr>
      <w:b/>
      <w:bCs/>
      <w:i w:val="0"/>
      <w:iCs w:val="0"/>
      <w:u w:val="none"/>
      <w:strike w:val="0"/>
      <w:smallCaps w:val="0"/>
      <w:sz w:val="26"/>
      <w:szCs w:val="26"/>
      <w:rFonts w:ascii="Times New Roman" w:eastAsia="Times New Roman" w:hAnsi="Times New Roman" w:cs="Times New Roman"/>
      <w:spacing w:val="30"/>
    </w:rPr>
  </w:style>
  <w:style w:type="character" w:customStyle="1" w:styleId="CharStyle20">
    <w:name w:val="Основной текст + Курсив"/>
    <w:basedOn w:val="CharStyle4"/>
    <w:rPr>
      <w:lang w:val="ru-RU" w:eastAsia="ru-RU" w:bidi="ru-RU"/>
      <w:i/>
      <w:iCs/>
      <w:sz w:val="24"/>
      <w:szCs w:val="24"/>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3">
    <w:name w:val="Основной текст"/>
    <w:basedOn w:val="Normal"/>
    <w:link w:val="CharStyle4"/>
    <w:pPr>
      <w:widowControl w:val="0"/>
      <w:shd w:val="clear" w:color="auto" w:fill="FFFFFF"/>
      <w:jc w:val="center"/>
      <w:spacing w:before="60" w:after="420" w:line="269"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60" w:after="6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outlineLvl w:val="1"/>
      <w:spacing w:before="60" w:after="60" w:line="0" w:lineRule="exact"/>
    </w:pPr>
    <w:rPr>
      <w:lang w:val="en-US" w:eastAsia="en-US" w:bidi="en-US"/>
      <w:b w:val="0"/>
      <w:bCs w:val="0"/>
      <w:i/>
      <w:iCs/>
      <w:u w:val="none"/>
      <w:strike w:val="0"/>
      <w:smallCaps w:val="0"/>
      <w:rFonts w:ascii="Times New Roman" w:eastAsia="Times New Roman" w:hAnsi="Times New Roman" w:cs="Times New Roman"/>
      <w:w w:val="66"/>
      <w:spacing w:val="30"/>
    </w:rPr>
  </w:style>
  <w:style w:type="paragraph" w:customStyle="1" w:styleId="Style16">
    <w:name w:val="Основной текст (3)"/>
    <w:basedOn w:val="Normal"/>
    <w:link w:val="CharStyle17"/>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line="0" w:lineRule="exact"/>
    </w:pPr>
    <w:rPr>
      <w:b/>
      <w:bCs/>
      <w:i w:val="0"/>
      <w:iCs w:val="0"/>
      <w:u w:val="none"/>
      <w:strike w:val="0"/>
      <w:smallCaps w:val="0"/>
      <w:sz w:val="26"/>
      <w:szCs w:val="2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