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51" w:after="86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/>
        <w:keepLines/>
        <w:shd w:val="clear" w:color="auto" w:fill="auto"/>
        <w:bidi w:val="0"/>
        <w:spacing w:before="0" w:after="381"/>
        <w:ind w:left="0" w:right="0" w:firstLine="0"/>
      </w:pPr>
      <w:bookmarkStart w:id="0" w:name="bookmark0"/>
      <w:r>
        <w:rPr>
          <w:rStyle w:val="CharStyle8"/>
          <w:b/>
          <w:bCs/>
        </w:rPr>
        <w:t>УПРАВЛЕНИЕ Федеральной антимонопольной службы по Архангельской области</w:t>
      </w:r>
      <w:bookmarkEnd w:id="0"/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rStyle w:val="CharStyle11"/>
        </w:rPr>
        <w:t xml:space="preserve">ул. К. Либкнехта, 2, г. Архангельск, 163000 Тел.: (8182) 20-73-21, факс: (8182) 21-54-45 </w:t>
      </w:r>
      <w:r>
        <w:rPr>
          <w:rStyle w:val="CharStyle11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1"/>
        </w:rPr>
        <w:instrText> HYPERLINK "mailto:to29@fas.gov.ru"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to29@fas.gov.ru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155" w:line="200" w:lineRule="exact"/>
        <w:ind w:left="20" w:right="0" w:firstLine="0"/>
      </w:pPr>
      <w:r>
        <w:rPr>
          <w:rStyle w:val="CharStyle12"/>
          <w:b/>
          <w:bCs/>
        </w:rPr>
        <w:t>Дело № 348мз-17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0" w:firstLine="0"/>
      </w:pPr>
      <w:r>
        <w:rPr>
          <w:rStyle w:val="CharStyle13"/>
          <w:b/>
          <w:bCs/>
        </w:rPr>
        <w:t>Заказчик (конкурсная комиссия):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rPr>
          <w:rStyle w:val="CharStyle12"/>
          <w:b/>
          <w:bCs/>
        </w:rPr>
        <w:t>МУП г. Коряжмы Архангельской области «Полигон»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488"/>
        <w:ind w:left="20" w:right="20" w:firstLine="0"/>
      </w:pPr>
      <w:r>
        <w:rPr>
          <w:rStyle w:val="CharStyle16"/>
        </w:rPr>
        <w:t xml:space="preserve">165650, Архангельская область, г. Коряжма, ул. Лермонтова, д. 31 </w:t>
      </w:r>
      <w:r>
        <w:rPr>
          <w:rStyle w:val="CharStyle16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6"/>
        </w:rPr>
        <w:instrText> HYPERLINK "mailto:poligon2011@mail.ru" </w:instrText>
      </w:r>
      <w:r>
        <w:fldChar w:fldCharType="separate"/>
      </w:r>
      <w:r>
        <w:rPr>
          <w:rStyle w:val="Hyperlink"/>
          <w:lang w:val="en-US" w:eastAsia="en-US" w:bidi="en-US"/>
        </w:rPr>
        <w:t>poligon2011@mail.ru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rStyle w:val="CharStyle13"/>
          <w:b/>
          <w:bCs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rStyle w:val="CharStyle12"/>
          <w:b/>
          <w:bCs/>
        </w:rPr>
        <w:t>ООО "АудитПроф"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20" w:firstLine="0"/>
      </w:pPr>
      <w:r>
        <w:rPr>
          <w:rStyle w:val="CharStyle16"/>
        </w:rPr>
        <w:t>163060, Архангельск, ул.Урицкого, д.47, оф.321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75" w:left="978" w:right="1180" w:bottom="737" w:header="0" w:footer="3" w:gutter="0"/>
          <w:rtlGutter w:val="0"/>
          <w:cols w:num="2" w:space="720" w:equalWidth="0">
            <w:col w:w="4718" w:space="845"/>
            <w:col w:w="4186"/>
          </w:cols>
          <w:noEndnote/>
          <w:docGrid w:linePitch="360"/>
        </w:sectPr>
      </w:pPr>
      <w:r>
        <w:rPr>
          <w:rStyle w:val="CharStyle16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16"/>
        </w:rPr>
        <w:instrText> HYPERLINK "mailto:audit_prof@mail.ru" </w:instrText>
      </w:r>
      <w:r>
        <w:fldChar w:fldCharType="separate"/>
      </w:r>
      <w:r>
        <w:rPr>
          <w:rStyle w:val="Hyperlink"/>
          <w:lang w:val="en-US" w:eastAsia="en-US" w:bidi="en-US"/>
        </w:rPr>
        <w:t>audit_prof@mail.ru</w:t>
      </w:r>
      <w:r>
        <w:fldChar w:fldCharType="end"/>
      </w:r>
    </w:p>
    <w:p>
      <w:pPr>
        <w:widowControl w:val="0"/>
        <w:spacing w:before="7" w:after="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7"/>
        <w:widowControl w:val="0"/>
        <w:keepNext/>
        <w:keepLines/>
        <w:shd w:val="clear" w:color="auto" w:fill="auto"/>
        <w:bidi w:val="0"/>
        <w:jc w:val="left"/>
        <w:spacing w:before="0" w:after="0" w:line="380" w:lineRule="exact"/>
        <w:ind w:left="2440" w:right="0" w:firstLine="0"/>
      </w:pPr>
      <w:bookmarkStart w:id="1" w:name="bookmark1"/>
      <w:r>
        <w:rPr>
          <w:rStyle w:val="CharStyle19"/>
          <w:b/>
          <w:bCs/>
          <w:i/>
          <w:iCs/>
        </w:rPr>
        <w:t>х*С'/'0?1&amp;39</w:t>
      </w:r>
      <w:bookmarkEnd w:id="1"/>
    </w:p>
    <w:p>
      <w:pPr>
        <w:pStyle w:val="Style20"/>
        <w:widowControl w:val="0"/>
        <w:keepNext w:val="0"/>
        <w:keepLines w:val="0"/>
        <w:shd w:val="clear" w:color="auto" w:fill="auto"/>
        <w:bidi w:val="0"/>
        <w:jc w:val="left"/>
        <w:spacing w:before="0" w:after="13" w:line="100" w:lineRule="exact"/>
        <w:ind w:left="3460" w:right="0" w:firstLine="0"/>
      </w:pPr>
      <w:r>
        <w:rPr>
          <w:rStyle w:val="CharStyle22"/>
          <w:i/>
          <w:iCs/>
        </w:rPr>
        <w:t>/</w:t>
      </w:r>
    </w:p>
    <w:p>
      <w:pPr>
        <w:pStyle w:val="Style14"/>
        <w:tabs>
          <w:tab w:leader="none" w:pos="259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48" w:line="220" w:lineRule="exact"/>
        <w:ind w:left="20" w:right="0" w:firstLine="0"/>
      </w:pPr>
      <w:r>
        <w:rPr>
          <w:rStyle w:val="CharStyle23"/>
        </w:rPr>
        <w:t>На №</w:t>
        <w:tab/>
        <w:t>от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142" w:line="220" w:lineRule="exact"/>
        <w:ind w:left="4420" w:right="0" w:firstLine="0"/>
      </w:pPr>
      <w:r>
        <w:rPr>
          <w:rStyle w:val="CharStyle26"/>
          <w:b/>
          <w:bCs/>
        </w:rPr>
        <w:t>РЕШЕНИЕ</w:t>
      </w:r>
    </w:p>
    <w:p>
      <w:pPr>
        <w:pStyle w:val="Style24"/>
        <w:tabs>
          <w:tab w:leader="none" w:pos="8281" w:val="right"/>
          <w:tab w:leader="none" w:pos="97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94" w:line="220" w:lineRule="exact"/>
        <w:ind w:left="260" w:right="0" w:firstLine="0"/>
      </w:pPr>
      <w:r>
        <w:rPr>
          <w:rStyle w:val="CharStyle26"/>
          <w:b/>
          <w:bCs/>
        </w:rPr>
        <w:t>03 ноября 2017 года</w:t>
        <w:tab/>
        <w:t>г.</w:t>
        <w:tab/>
        <w:t>Архангельск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99" w:line="269" w:lineRule="exact"/>
        <w:ind w:left="260" w:right="760" w:firstLine="700"/>
      </w:pPr>
      <w:r>
        <w:rPr>
          <w:rStyle w:val="CharStyle27"/>
        </w:rPr>
        <w:t>Комиссия Управления Федеральной антимонопольной службы по Архангельской области по контролю в сфере закупок (далее - Комиссия Архангельского УФ АС России) в составе: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142" w:line="220" w:lineRule="exact"/>
        <w:ind w:left="820" w:right="0" w:firstLine="0"/>
      </w:pPr>
      <w:r>
        <w:rPr>
          <w:rStyle w:val="CharStyle28"/>
          <w:b/>
          <w:bCs/>
        </w:rPr>
        <w:t>Председатель комиссии:</w:t>
      </w:r>
    </w:p>
    <w:p>
      <w:pPr>
        <w:pStyle w:val="Style14"/>
        <w:tabs>
          <w:tab w:leader="none" w:pos="2385" w:val="left"/>
          <w:tab w:leader="none" w:pos="9106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60" w:right="0" w:firstLine="0"/>
      </w:pPr>
      <w:r>
        <w:rPr>
          <w:rStyle w:val="CharStyle27"/>
        </w:rPr>
        <w:t>Короткова И.Ю.</w:t>
        <w:tab/>
        <w:t>Заместитель руководителя Управления - начальник отдела</w:t>
        <w:tab/>
        <w:t>контроля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123" w:line="220" w:lineRule="exact"/>
        <w:ind w:left="2440" w:right="0" w:firstLine="0"/>
      </w:pPr>
      <w:r>
        <w:rPr>
          <w:rStyle w:val="CharStyle27"/>
        </w:rPr>
        <w:t>закупок,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820" w:right="0" w:firstLine="0"/>
      </w:pPr>
      <w:r>
        <w:rPr>
          <w:rStyle w:val="CharStyle28"/>
          <w:b/>
          <w:bCs/>
        </w:rPr>
        <w:t>Члены комиссии:</w:t>
      </w:r>
    </w:p>
    <w:p>
      <w:pPr>
        <w:pStyle w:val="Style14"/>
        <w:tabs>
          <w:tab w:leader="none" w:pos="23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60" w:right="0" w:firstLine="0"/>
      </w:pPr>
      <w:r>
        <w:rPr>
          <w:rStyle w:val="CharStyle27"/>
        </w:rPr>
        <w:t>Вознесенская Н.В.</w:t>
        <w:tab/>
        <w:t>Главный специалист-эксперт отдела контроля закупок,</w:t>
      </w:r>
    </w:p>
    <w:p>
      <w:pPr>
        <w:pStyle w:val="Style14"/>
        <w:tabs>
          <w:tab w:leader="none" w:pos="238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60" w:right="0" w:firstLine="0"/>
      </w:pPr>
      <w:r>
        <w:rPr>
          <w:rStyle w:val="CharStyle27"/>
        </w:rPr>
        <w:t xml:space="preserve">Чирова </w:t>
      </w:r>
      <w:r>
        <w:rPr>
          <w:rStyle w:val="CharStyle29"/>
        </w:rPr>
        <w:t>Л.А.</w:t>
        <w:tab/>
      </w:r>
      <w:r>
        <w:rPr>
          <w:rStyle w:val="CharStyle27"/>
        </w:rPr>
        <w:t>Специалист-эксперт отдела контроля закупок,</w:t>
      </w:r>
    </w:p>
    <w:p>
      <w:pPr>
        <w:pStyle w:val="Style14"/>
        <w:tabs>
          <w:tab w:leader="none" w:pos="2538" w:val="left"/>
          <w:tab w:leader="none" w:pos="8587" w:val="center"/>
          <w:tab w:leader="none" w:pos="9742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60" w:right="0" w:firstLine="700"/>
      </w:pPr>
      <w:r>
        <w:rPr>
          <w:rStyle w:val="CharStyle27"/>
        </w:rPr>
        <w:t>на основании</w:t>
        <w:tab/>
        <w:t>пункта 1 части 15 статьи 99, статьи 106 Федерального</w:t>
        <w:tab/>
        <w:t>закона от</w:t>
        <w:tab/>
        <w:t>05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180" w:line="269" w:lineRule="exact"/>
        <w:ind w:left="260" w:right="760" w:firstLine="0"/>
      </w:pPr>
      <w:r>
        <w:rPr>
          <w:rStyle w:val="CharStyle27"/>
        </w:rPr>
        <w:t>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60" w:right="0" w:firstLine="700"/>
      </w:pPr>
      <w:r>
        <w:rPr>
          <w:rStyle w:val="CharStyle28"/>
          <w:b/>
          <w:bCs/>
        </w:rPr>
        <w:t xml:space="preserve">в </w:t>
      </w:r>
      <w:r>
        <w:rPr>
          <w:rStyle w:val="CharStyle30"/>
          <w:b w:val="0"/>
          <w:bCs w:val="0"/>
        </w:rPr>
        <w:t>отсутствии</w:t>
      </w:r>
      <w:r>
        <w:rPr>
          <w:rStyle w:val="CharStyle31"/>
          <w:b w:val="0"/>
          <w:bCs w:val="0"/>
        </w:rPr>
        <w:t xml:space="preserve"> </w:t>
      </w:r>
      <w:r>
        <w:rPr>
          <w:rStyle w:val="CharStyle28"/>
          <w:b/>
          <w:bCs/>
        </w:rPr>
        <w:t>представителей от: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60" w:line="269" w:lineRule="exact"/>
        <w:ind w:left="260" w:right="760" w:firstLine="700"/>
      </w:pPr>
      <w:r>
        <w:rPr>
          <w:rStyle w:val="CharStyle29"/>
        </w:rPr>
        <w:t xml:space="preserve">Заявителя, Заказчика, </w:t>
      </w:r>
      <w:r>
        <w:rPr>
          <w:rStyle w:val="CharStyle27"/>
        </w:rPr>
        <w:t>которые уведомлены надлежащим образом о времени и месте рассмотрения настоящего дела.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180" w:line="269" w:lineRule="exact"/>
        <w:ind w:left="260" w:right="760" w:firstLine="700"/>
      </w:pPr>
      <w:r>
        <w:rPr>
          <w:rStyle w:val="CharStyle29"/>
        </w:rPr>
        <w:t xml:space="preserve">Заказчик </w:t>
      </w:r>
      <w:r>
        <w:rPr>
          <w:rStyle w:val="CharStyle27"/>
        </w:rPr>
        <w:t>заявил ходатайство о рассмотрении дела в отсутствии своего представителя.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0" w:line="269" w:lineRule="exact"/>
        <w:ind w:left="4420" w:right="0" w:firstLine="0"/>
      </w:pPr>
      <w:r>
        <w:rPr>
          <w:rStyle w:val="CharStyle26"/>
          <w:b/>
          <w:bCs/>
        </w:rPr>
        <w:t>УСТАНОВИЛА: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67" w:line="269" w:lineRule="exact"/>
        <w:ind w:left="260" w:right="760" w:firstLine="700"/>
      </w:pPr>
      <w:r>
        <w:rPr>
          <w:rStyle w:val="CharStyle27"/>
        </w:rPr>
        <w:t>27 октября 2017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"АудитПроф" (далее - Заявитель) на действия конкурсной комиссии, созданной заказчиком - МУП г. Коряжмы Архангельской области «Полигон» (далее — конкурсная комиссия), при проведении открытого конкурса на право заключения контракта на оказание услуг по проведению финансового аудита (извещение № 0524600000217000038).</w:t>
      </w:r>
    </w:p>
    <w:p>
      <w:pPr>
        <w:pStyle w:val="Style32"/>
        <w:tabs>
          <w:tab w:leader="none" w:pos="10268" w:val="right"/>
        </w:tabs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20" w:right="0" w:firstLine="0"/>
      </w:pPr>
      <w:r>
        <w:rPr>
          <w:rStyle w:val="CharStyle34"/>
        </w:rPr>
        <w:t>.(ИПП «ПС», пр. Новгородский, 32, ИНН 2901120811, зак. 787, т. 2500,16.08.2017</w:t>
        <w:tab/>
      </w:r>
      <w:r>
        <w:rPr>
          <w:rStyle w:val="CharStyle35"/>
        </w:rPr>
        <w:t>021065</w:t>
      </w:r>
      <w:r>
        <w:br w:type="page"/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700"/>
      </w:pPr>
      <w:r>
        <w:rPr>
          <w:rStyle w:val="CharStyle28"/>
          <w:b/>
          <w:bCs/>
        </w:rPr>
        <w:t>Содержание жалобы: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rStyle w:val="CharStyle27"/>
        </w:rPr>
        <w:t>Обжалуются действия конкурсной комиссии в связи с неправомерным выбором победителя по итогам рассмотрения и оценки заявок на участие в открытом конкурсе.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rStyle w:val="CharStyle27"/>
        </w:rPr>
        <w:t>Заказчик не согласен с доводами Заявителя по основаниям, изложенным в объяснении по жалобе от 02.11.2017 № 413.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rStyle w:val="CharStyle26"/>
          <w:b/>
          <w:bCs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rStyle w:val="CharStyle27"/>
        </w:rPr>
        <w:t xml:space="preserve">29.09.2017 Заказчиком на официальном сайте единой информационной системы в сфере закупок в сети Интернет </w:t>
      </w:r>
      <w:r>
        <w:fldChar w:fldCharType="begin"/>
      </w:r>
      <w:r>
        <w:rPr>
          <w:rStyle w:val="CharStyle27"/>
        </w:rPr>
        <w:instrText> HYPERLINK "http://zakupki.gov.ru" </w:instrText>
      </w:r>
      <w:r>
        <w:fldChar w:fldCharType="separate"/>
      </w:r>
      <w:r>
        <w:rPr>
          <w:rStyle w:val="Hyperlink"/>
          <w:lang w:val="en-US" w:eastAsia="en-US" w:bidi="en-US"/>
        </w:rPr>
        <w:t>http://zakupki.gov.ru</w:t>
      </w:r>
      <w:r>
        <w:fldChar w:fldCharType="end"/>
      </w:r>
      <w:r>
        <w:rPr>
          <w:rStyle w:val="CharStyle27"/>
          <w:lang w:val="en-US" w:eastAsia="en-US" w:bidi="en-US"/>
        </w:rPr>
        <w:t xml:space="preserve"> </w:t>
      </w:r>
      <w:r>
        <w:rPr>
          <w:rStyle w:val="CharStyle27"/>
        </w:rPr>
        <w:t>размещено извещение № 0524600000217000038 о проведении открытого конкурса и конкурсная документация об электронном аукционе на право заключения контракта на оказание услуг по проведению финансового аудита (далее - документация об аукционе).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0" w:firstLine="700"/>
      </w:pPr>
      <w:r>
        <w:rPr>
          <w:rStyle w:val="CharStyle27"/>
        </w:rPr>
        <w:t>Начальная (максимальная) цена контракта - 90 333,33 рубля.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38"/>
          <w:i/>
          <w:iCs/>
        </w:rPr>
        <w:t>Заявитель в жалобе отмечает, что конкурсная комиссия нарушила порядок определения победителя открытого конкурса (нарушены правила подсчета баллов).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>В соответствии с протоколом рассмотрения и оценки заявок на участие в открытом конкурсе от 25.10.2017 в расчете баллов заявки № 3 (ООО «АудитПроф») в графе «Опыт участника по успешному оказанию услуг сопоставимого характера» присвоено 20 баллов.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>Заявитель считает, что 20 баллов присвоено ошибочно, так как исходя из документально подтвержденной информации, Заказчик должен был присвоить 40 баллов.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>В соответствии с частью 1 статьи 32 ФЗ «О контрактной системе» для оценки заявок, окончательных предложений участников закупки заказчик в документации о закупке устанавливает следующие критерии: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rStyle w:val="CharStyle27"/>
        </w:rPr>
        <w:t xml:space="preserve"> цена контракта;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rStyle w:val="CharStyle27"/>
        </w:rPr>
        <w:t xml:space="preserve"> расходы на эксплуатацию и ремонт товаров, использование результатов работ;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rStyle w:val="CharStyle27"/>
        </w:rPr>
        <w:t xml:space="preserve"> качественные, функциональные и экологические характеристики объекта закупки;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 xml:space="preserve">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  <w:sectPr>
          <w:type w:val="continuous"/>
          <w:pgSz w:w="11906" w:h="16838"/>
          <w:pgMar w:top="609" w:left="650" w:right="650" w:bottom="999" w:header="0" w:footer="3" w:gutter="103"/>
          <w:rtlGutter w:val="0"/>
          <w:cols w:space="720"/>
          <w:noEndnote/>
          <w:docGrid w:linePitch="360"/>
        </w:sectPr>
      </w:pPr>
      <w:r>
        <w:rPr>
          <w:rStyle w:val="CharStyle27"/>
        </w:rPr>
        <w:t>В пункте 23 раздела II «Информационная карта конкурса» конкурсной документации отражены необходимые условия для присвоения определенного балла, одним из них является:</w:t>
      </w:r>
    </w:p>
    <w:p>
      <w:pPr>
        <w:widowControl w:val="0"/>
        <w:spacing w:line="7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tabs>
          <w:tab w:leader="none" w:pos="3070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50" w:lineRule="exact"/>
        <w:ind w:left="20" w:right="20" w:firstLine="0"/>
      </w:pPr>
      <w:r>
        <w:rPr>
          <w:rStyle w:val="CharStyle27"/>
        </w:rPr>
        <w:t>Критерии оценки, величины значимости этих критериев, показатели в отношении нестоимостных</w:t>
        <w:tab/>
        <w:t>критериев</w:t>
      </w:r>
    </w:p>
    <w:p>
      <w:pPr>
        <w:pStyle w:val="Style14"/>
        <w:tabs>
          <w:tab w:leader="none" w:pos="30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0"/>
      </w:pPr>
      <w:r>
        <w:rPr>
          <w:rStyle w:val="CharStyle27"/>
        </w:rPr>
        <w:t>оценки, их значимость и формула расчета количества баллов, присуждаемых по таким показателям, или шкала предельных</w:t>
        <w:tab/>
        <w:t>величин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20" w:right="20" w:firstLine="0"/>
      </w:pPr>
      <w:r>
        <w:rPr>
          <w:rStyle w:val="CharStyle27"/>
        </w:rPr>
        <w:t>значимости показателей оценки, устанавливающая интервалы их изменений, или порядок их определения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20" w:right="0" w:firstLine="0"/>
      </w:pPr>
      <w:r>
        <w:rPr>
          <w:rStyle w:val="CharStyle27"/>
        </w:rPr>
        <w:t>Показатель 1 - Опыт участника по успешному оказанию услуг сопоставимого характера (К30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20" w:right="0" w:firstLine="280"/>
      </w:pPr>
      <w:r>
        <w:rPr>
          <w:rStyle w:val="CharStyle27"/>
        </w:rPr>
        <w:t>При оценке по данному показателю анализируется количество проведенных аудиторских проверок Участником закупки с указанием наименований проверяемых организаций за последние пять лет (2012 — 2016 годы) (с приложением списка заказчиков и указанием года проверки). При подсчете проведенных годовых аудиторских проверок за единицу принимается одна аудиторская проверка за год (вне зависимости от количества этапов ее проведения).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20" w:right="0" w:firstLine="280"/>
      </w:pPr>
      <w:r>
        <w:rPr>
          <w:rStyle w:val="CharStyle27"/>
        </w:rPr>
        <w:t>Количество баллов, присуждаемых заявке на участие в открытом конкурсе по указанному показателю, определяется на основании документально подтвержденной информации, представленной по желанию участника открытого конкурса с использованием следующей шкалы и присвоением соответствующих баллов: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20" w:right="0" w:firstLine="280"/>
      </w:pPr>
      <w:r>
        <w:rPr>
          <w:rStyle w:val="CharStyle27"/>
        </w:rPr>
        <w:t>Заявкам на участие в открытом конкурсе, содержащим документально подтвержденную информацию о проведении: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20" w:right="0" w:firstLine="0"/>
      </w:pPr>
      <w:r>
        <w:rPr>
          <w:rStyle w:val="CharStyle27"/>
        </w:rPr>
        <w:t xml:space="preserve"> </w:t>
      </w:r>
      <w:r>
        <w:rPr>
          <w:rStyle w:val="CharStyle39"/>
        </w:rPr>
        <w:t>30 и более</w:t>
      </w:r>
      <w:r>
        <w:rPr>
          <w:rStyle w:val="CharStyle27"/>
        </w:rPr>
        <w:t xml:space="preserve"> аудиторских проверок годовой бухгалтерской (финансовой) отчетности предприятий заказчиков - по данному показателю присваивается 60 баллов;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45" w:lineRule="exact"/>
        <w:ind w:left="20" w:right="0" w:firstLine="0"/>
        <w:sectPr>
          <w:type w:val="continuous"/>
          <w:pgSz w:w="11906" w:h="16838"/>
          <w:pgMar w:top="777" w:left="1287" w:right="1287" w:bottom="470" w:header="0" w:footer="3" w:gutter="0"/>
          <w:rtlGutter w:val="0"/>
          <w:cols w:num="2" w:sep="1" w:space="720" w:equalWidth="0">
            <w:col w:w="3072" w:space="202"/>
            <w:col w:w="6058"/>
          </w:cols>
          <w:noEndnote/>
          <w:docGrid w:linePitch="360"/>
        </w:sectPr>
      </w:pPr>
      <w:r>
        <w:rPr>
          <w:rStyle w:val="CharStyle40"/>
        </w:rPr>
        <w:t xml:space="preserve"> </w:t>
      </w:r>
      <w:r>
        <w:rPr>
          <w:rStyle w:val="CharStyle41"/>
        </w:rPr>
        <w:t>от 29 до 10</w:t>
      </w:r>
      <w:r>
        <w:rPr>
          <w:rStyle w:val="CharStyle40"/>
        </w:rPr>
        <w:t xml:space="preserve"> аудиторских проверок годовой бухгалтерской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3380" w:right="40" w:firstLine="0"/>
      </w:pPr>
      <w:r>
        <w:rPr>
          <w:rStyle w:val="CharStyle16"/>
        </w:rPr>
        <w:t>(финансовой) отчетности предприятий заказчиков - по данному показателю присваивается 40 баллов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3380" w:right="40" w:firstLine="0"/>
      </w:pPr>
      <w:r>
        <w:rPr>
          <w:rStyle w:val="CharStyle16"/>
        </w:rPr>
        <w:t xml:space="preserve"> </w:t>
      </w:r>
      <w:r>
        <w:rPr>
          <w:rStyle w:val="CharStyle45"/>
        </w:rPr>
        <w:t>менее 10</w:t>
      </w:r>
      <w:r>
        <w:rPr>
          <w:rStyle w:val="CharStyle16"/>
        </w:rPr>
        <w:t xml:space="preserve"> аудиторских проверок годовой бухгалтерской (финансовой) отчетности предприятий заказчиков - по данному показателю присваивается 20 баллов;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3380" w:right="0" w:firstLine="0"/>
      </w:pPr>
      <w:r>
        <w:rPr>
          <w:rStyle w:val="CharStyle16"/>
        </w:rPr>
        <w:t xml:space="preserve"> </w:t>
      </w:r>
      <w:r>
        <w:rPr>
          <w:rStyle w:val="CharStyle45"/>
        </w:rPr>
        <w:t>О</w:t>
      </w:r>
      <w:r>
        <w:rPr>
          <w:rStyle w:val="CharStyle16"/>
        </w:rPr>
        <w:t xml:space="preserve"> проверок - по данному показателю присваивается 0 баллов.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50" w:lineRule="exact"/>
        <w:ind w:left="3380" w:right="40" w:firstLine="280"/>
      </w:pPr>
      <w:r>
        <w:rPr>
          <w:rStyle w:val="CharStyle16"/>
        </w:rPr>
        <w:t>В качестве подтверждения по данному показателю участником закупки представляются копии договоров (контрактов) за последние пять лет (2012 - 2016 годы), предметами которых являлись проведение аудиторских проверок. Все приложенные копии договоров (контрактов) должны быть подтверждены копиями актов об оказании услуг, подписанных исполнителем и заказчиком. Копии договоров (контрактов) не подтвержденные актами об оказании услуг, не учитываются при расчете по данному показателю.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465" w:line="250" w:lineRule="exact"/>
        <w:ind w:left="3380" w:right="40" w:firstLine="280"/>
      </w:pPr>
      <w:r>
        <w:rPr>
          <w:rStyle w:val="CharStyle16"/>
        </w:rPr>
        <w:t>В случае не представления подтверждающих документов, участник открытого конкурса по данному показателю получает 0 баллов.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 xml:space="preserve">В письменных объяснениях Заказчик пояснил следующее: «В ходе рассмотрения </w:t>
      </w:r>
      <w:r>
        <w:rPr>
          <w:rStyle w:val="CharStyle16"/>
        </w:rPr>
        <w:t xml:space="preserve">и </w:t>
      </w:r>
      <w:r>
        <w:rPr>
          <w:rStyle w:val="CharStyle27"/>
        </w:rPr>
        <w:t xml:space="preserve">оценки заявки от ООО «АудитПроф» по факту представленных документов </w:t>
      </w:r>
      <w:r>
        <w:rPr>
          <w:rStyle w:val="CharStyle16"/>
        </w:rPr>
        <w:t xml:space="preserve">4 (четыре) </w:t>
      </w:r>
      <w:r>
        <w:rPr>
          <w:rStyle w:val="CharStyle27"/>
        </w:rPr>
        <w:t xml:space="preserve">аудиторские проверки оказались подтвержденными копиями договоров и актами к </w:t>
      </w:r>
      <w:r>
        <w:rPr>
          <w:rStyle w:val="CharStyle16"/>
        </w:rPr>
        <w:t xml:space="preserve">ним. </w:t>
      </w:r>
      <w:r>
        <w:rPr>
          <w:rStyle w:val="CharStyle27"/>
        </w:rPr>
        <w:t xml:space="preserve">МУП «Полигон» не отрицает, что участником были представлены дополнительно 24 </w:t>
      </w:r>
      <w:r>
        <w:rPr>
          <w:rStyle w:val="CharStyle16"/>
        </w:rPr>
        <w:t xml:space="preserve">акта, </w:t>
      </w:r>
      <w:r>
        <w:rPr>
          <w:rStyle w:val="CharStyle27"/>
        </w:rPr>
        <w:t xml:space="preserve">но они не учитывались при подсчете баллов, т.к. к ним не были представлены копии договоров. Учитывая данные обстоятельства, комиссия пришла к решению, что участником представлен не полный </w:t>
      </w:r>
      <w:r>
        <w:rPr>
          <w:rStyle w:val="CharStyle16"/>
        </w:rPr>
        <w:t xml:space="preserve">пакет </w:t>
      </w:r>
      <w:r>
        <w:rPr>
          <w:rStyle w:val="CharStyle27"/>
        </w:rPr>
        <w:t xml:space="preserve">документов, перечисленный в конкурсной документации. </w:t>
      </w:r>
      <w:r>
        <w:rPr>
          <w:rStyle w:val="CharStyle16"/>
        </w:rPr>
        <w:t xml:space="preserve">На </w:t>
      </w:r>
      <w:r>
        <w:rPr>
          <w:rStyle w:val="CharStyle27"/>
        </w:rPr>
        <w:t>основании этого во внимание были приняты только 4 копии договора и акты к ним».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 xml:space="preserve">В соответствии с частью 6 статьи 106 ФЗ «О контрактной системе» рассмотрение жалобы не осуществляется в отношении результатов оценки заявок на участие в конкурсе, </w:t>
      </w:r>
      <w:r>
        <w:rPr>
          <w:rStyle w:val="CharStyle16"/>
        </w:rPr>
        <w:t xml:space="preserve">в </w:t>
      </w:r>
      <w:r>
        <w:rPr>
          <w:rStyle w:val="CharStyle27"/>
        </w:rPr>
        <w:t xml:space="preserve">запросе предложений, окончательных предложений в соответствии с указанными в </w:t>
      </w:r>
      <w:r>
        <w:rPr>
          <w:rStyle w:val="CharStyle16"/>
        </w:rPr>
        <w:t xml:space="preserve">пунктах </w:t>
      </w:r>
      <w:r>
        <w:rPr>
          <w:rStyle w:val="CharStyle27"/>
        </w:rPr>
        <w:t>3 и 4 части 1 статьи 32 указанного Федерального закона критериями оценки этих заявок, окончательных предложений.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rStyle w:val="CharStyle27"/>
        </w:rPr>
        <w:t xml:space="preserve">Следовательно, Комиссия Архангельского УФАС России Комиссия не рассматривает довод жалобы в отношении результатов оценки заявок на участие в конкурсе по нестоимостным критериям оценки заявок. При этом, учитывая положения частей 1 и 2 статьи 105 ФЗ «О контрактной системе», Заявитель вправе обжаловать указанные результаты оценки заявок </w:t>
      </w:r>
      <w:r>
        <w:rPr>
          <w:rStyle w:val="CharStyle16"/>
        </w:rPr>
        <w:t xml:space="preserve">в </w:t>
      </w:r>
      <w:r>
        <w:rPr>
          <w:rStyle w:val="CharStyle27"/>
        </w:rPr>
        <w:t>судебном порядке.</w:t>
      </w:r>
    </w:p>
    <w:p>
      <w:pPr>
        <w:pStyle w:val="Style36"/>
        <w:widowControl w:val="0"/>
        <w:keepNext w:val="0"/>
        <w:keepLines w:val="0"/>
        <w:shd w:val="clear" w:color="auto" w:fill="auto"/>
        <w:bidi w:val="0"/>
        <w:spacing w:before="0" w:after="0" w:line="274" w:lineRule="exact"/>
        <w:ind w:left="20" w:right="20"/>
      </w:pPr>
      <w:r>
        <w:rPr>
          <w:rStyle w:val="CharStyle38"/>
          <w:i/>
          <w:iCs/>
        </w:rPr>
        <w:t xml:space="preserve">По второму доводу жалобы Заявитель полагает, что победителем признана организация, </w:t>
      </w:r>
      <w:r>
        <w:rPr>
          <w:rStyle w:val="CharStyle38"/>
          <w:lang w:val="en-US" w:eastAsia="en-US" w:bidi="en-US"/>
          <w:i/>
          <w:iCs/>
        </w:rPr>
        <w:t xml:space="preserve">tie </w:t>
      </w:r>
      <w:r>
        <w:rPr>
          <w:rStyle w:val="CharStyle38"/>
          <w:i/>
          <w:iCs/>
        </w:rPr>
        <w:t xml:space="preserve">имеющая в штате аудиторов с единым аттестатом, а </w:t>
      </w:r>
      <w:r>
        <w:rPr>
          <w:rStyle w:val="CharStyle46"/>
          <w:i/>
          <w:iCs/>
        </w:rPr>
        <w:t xml:space="preserve">именно </w:t>
      </w:r>
      <w:r>
        <w:rPr>
          <w:rStyle w:val="CharStyle38"/>
          <w:i/>
          <w:iCs/>
        </w:rPr>
        <w:t>отсутствие квалификации для проведения аудиторской проверки.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00"/>
      </w:pPr>
      <w:r>
        <w:rPr>
          <w:rStyle w:val="CharStyle27"/>
        </w:rPr>
        <w:t>В соответствии с протоколом рассмотрения и оценки заявок на участие в открытом конкурсе от 25.10.2017 победителем является ООО Аудиторская фирма «Промаудит» (заявка № 4).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840"/>
      </w:pPr>
      <w:r>
        <w:rPr>
          <w:rStyle w:val="CharStyle27"/>
        </w:rPr>
        <w:t xml:space="preserve">В пункте 23 раздела II «Информационная карта конкурса» конкурсной документации установлены критерии оценки по показателю 2 - Квалификация трудовых ресурсов (ключевых специалистов), предлагаемых для оказания услуг (КЗг). При оценке по данному показателю анализируется информация участника конкурса о квалификации трудовых ресурсов (ключевых специалистов), планируемых участником конкурса к оказанию услуг, в соответствии с Техническим заданием, а именно, количество представленных копий трудовых договоров или копий трудовых книжек или выписок из трудовых книжек специалистов с приложением копий сертификатов / квалификационных аттестатов специалистов. Подтверждением квалификации трудовых ресурсов (ключевых специалистов), предлагаемых для оказания услуг, служат: копии трудовых книжек специалистов или выписки (копии таких выписок) из трудовых книжек специалистов и (или) копии трудовых договоров, заключенных </w:t>
      </w:r>
      <w:r>
        <w:rPr>
          <w:rStyle w:val="CharStyle16"/>
        </w:rPr>
        <w:t xml:space="preserve">с </w:t>
      </w:r>
      <w:r>
        <w:rPr>
          <w:rStyle w:val="CharStyle27"/>
        </w:rPr>
        <w:t xml:space="preserve">аудиторами, копии сертификатов </w:t>
      </w:r>
      <w:r>
        <w:rPr>
          <w:rStyle w:val="CharStyle16"/>
        </w:rPr>
        <w:t xml:space="preserve">/ </w:t>
      </w:r>
      <w:r>
        <w:rPr>
          <w:rStyle w:val="CharStyle27"/>
        </w:rPr>
        <w:t>квалификационных аттестатов специалистов. Количество баллов, присуждаемых заявке на участие в открытом конкурсе по указанному показателю, определяется на основании документально подтвержденной информации, представленной по желанию участника открытого конкурса с использованием следующей шкалы и присвоением соответствующих баллов: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0"/>
      </w:pPr>
      <w:r>
        <w:rPr>
          <w:rStyle w:val="CharStyle47"/>
        </w:rPr>
        <w:t xml:space="preserve"> </w:t>
      </w:r>
      <w:r>
        <w:rPr>
          <w:rStyle w:val="CharStyle48"/>
        </w:rPr>
        <w:t xml:space="preserve">5 и </w:t>
      </w:r>
      <w:r>
        <w:rPr>
          <w:rStyle w:val="CharStyle39"/>
        </w:rPr>
        <w:t>более</w:t>
      </w:r>
      <w:r>
        <w:rPr>
          <w:rStyle w:val="CharStyle27"/>
        </w:rPr>
        <w:t xml:space="preserve"> копий трудовых книжек специалистов или выписок (копий таких выписок) из трудовых книжек специалистов и (или) копии трудовых договоров, заключенных с аудиторами, копии сертификатов/ квалификационных аттестатов специалистов - по данному показателю присваивается 25 баллов;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0"/>
      </w:pPr>
      <w:r>
        <w:rPr>
          <w:rStyle w:val="CharStyle47"/>
        </w:rPr>
        <w:t xml:space="preserve"> </w:t>
      </w:r>
      <w:r>
        <w:rPr>
          <w:rStyle w:val="CharStyle48"/>
        </w:rPr>
        <w:t>от 4 до 3</w:t>
      </w:r>
      <w:r>
        <w:rPr>
          <w:rStyle w:val="CharStyle47"/>
        </w:rPr>
        <w:t xml:space="preserve"> </w:t>
      </w:r>
      <w:r>
        <w:rPr>
          <w:rStyle w:val="CharStyle27"/>
        </w:rPr>
        <w:t>копий трудовых книжек специалистов или выписок (копий таких выписок) из трудовых книжек специалистов и (или) копии трудовых договоров, заключенных с аудиторами, копии сертификатов/ квалификационных аттестатов специалистов - по данному показателю присваивается 15 баллов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0"/>
      </w:pPr>
      <w:r>
        <w:rPr>
          <w:rStyle w:val="CharStyle47"/>
        </w:rPr>
        <w:t xml:space="preserve"> </w:t>
      </w:r>
      <w:r>
        <w:rPr>
          <w:rStyle w:val="CharStyle48"/>
        </w:rPr>
        <w:t>от 2 до 1</w:t>
      </w:r>
      <w:r>
        <w:rPr>
          <w:rStyle w:val="CharStyle47"/>
        </w:rPr>
        <w:t xml:space="preserve"> </w:t>
      </w:r>
      <w:r>
        <w:rPr>
          <w:rStyle w:val="CharStyle27"/>
        </w:rPr>
        <w:t>копий трудовых книжек специалистов или выписок (копий таких выписок) из трудовых книжек специалистов и (или) копии трудовых договоров, заключенных с аудиторами, копии сертификатов/ квалификационных аттестатов специалистов - по данному показателю присваивается 5 баллов</w:t>
      </w:r>
    </w:p>
    <w:p>
      <w:pPr>
        <w:pStyle w:val="Style14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0"/>
      </w:pPr>
      <w:r>
        <w:rPr>
          <w:rStyle w:val="CharStyle27"/>
        </w:rPr>
        <w:t xml:space="preserve"> </w:t>
      </w:r>
      <w:r>
        <w:rPr>
          <w:rStyle w:val="CharStyle39"/>
        </w:rPr>
        <w:t>О</w:t>
      </w:r>
      <w:r>
        <w:rPr>
          <w:rStyle w:val="CharStyle27"/>
        </w:rPr>
        <w:t xml:space="preserve"> копий трудовых книжек специалистов или выписок (копий таких выписок) из трудовых книжек специалистов и (или) копии трудовых договоров, заключенных с аудиторами, копии сертификатов </w:t>
      </w:r>
      <w:r>
        <w:rPr>
          <w:rStyle w:val="CharStyle16"/>
        </w:rPr>
        <w:t xml:space="preserve">/ </w:t>
      </w:r>
      <w:r>
        <w:rPr>
          <w:rStyle w:val="CharStyle27"/>
        </w:rPr>
        <w:t>квалификационных аттестатов специалистов - по данному показателю присваивается 0 баллов.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>При отсутствии в заявке на участие в открытом конкурсе информации об опыте участника конкурса, подтвержденной копиями указанных выше документов, участник открытого конкурса получает 0 баллов по данному показателю.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 xml:space="preserve">Следовательно, если участником не представлено копии сертификатов </w:t>
      </w:r>
      <w:r>
        <w:rPr>
          <w:rStyle w:val="CharStyle16"/>
        </w:rPr>
        <w:t xml:space="preserve">/ </w:t>
      </w:r>
      <w:r>
        <w:rPr>
          <w:rStyle w:val="CharStyle27"/>
        </w:rPr>
        <w:t>квалификационных аттестатов специалистов - по данному показателю присваивается О баллов.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0" w:firstLine="700"/>
      </w:pPr>
      <w:r>
        <w:rPr>
          <w:rStyle w:val="CharStyle27"/>
        </w:rPr>
        <w:t>Данное обстоятельство не является основанием для отклонения заявки.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>В соответствии с частью 7 статьи 53 ФЗ «О контрактной системе»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контракта. Заявке на участие в конкурсе, в которой содержатся лучшие условия исполнения контракта, присваивается первый номер. В случае, если в нескольких заявках на участие в конкурсе содержатся одинаковые условия исполнения контракта, меньший порядковый номер присваивается заявке на участие в конкурсе, которая поступила ранее других заявок на участие в конкурсе, содержащих такие же условия.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>На основании части 8 статьи 53 ФЗ «О контрактной системе» победителем конкурса признается участник конкурса, который предложил лучшие условия исполнения контракта на основе критериев, указанных в конкурсной документации, и заявке на участие в конкурсе которого присвоен первый номер.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6"/>
          <w:b/>
          <w:bCs/>
        </w:rPr>
        <w:t>Таким образом, конкурсная комиссия правомерно признала победителем ООО «АудитПроф».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>Также при проведении внеплановой проверки Комиссией Архангельского УФАС России установлено следующее.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27"/>
        </w:rPr>
        <w:t>В соответствии с пунктом 8 части 1 статьи 50 ФЗ «О контрактной системе» конкурсная документация наряду с информацией, указанной в извещении о проведении открытого конкурса, должна содержать следующую информацию, в том числе: порядок предоставления участникам открытого конкурса разъяснений положений конкурсной документации, даты начала и окончания срока такого предоставления.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49"/>
        </w:rPr>
        <w:t xml:space="preserve">Согласно части 7 статьи 50 </w:t>
      </w:r>
      <w:r>
        <w:rPr>
          <w:rStyle w:val="CharStyle27"/>
        </w:rPr>
        <w:t xml:space="preserve">ФЗ </w:t>
      </w:r>
      <w:r>
        <w:rPr>
          <w:rStyle w:val="CharStyle49"/>
        </w:rPr>
        <w:t xml:space="preserve">«О контрактной системе», любой </w:t>
      </w:r>
      <w:r>
        <w:rPr>
          <w:rStyle w:val="CharStyle27"/>
        </w:rPr>
        <w:t>участник открытого конкурса вправе направить в письменной форме заказчику запрос о даче разъяснений положений конкурсной документации.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документации, если</w:t>
        <w:br w:type="page"/>
      </w:r>
      <w:r>
        <w:rPr>
          <w:rStyle w:val="CharStyle16"/>
        </w:rPr>
        <w:t>указанный запрос поступил к заказчику не позднее чем за пять дней до даты окончания срока подачи заявок на участие в открытом конкурсе.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16"/>
        </w:rPr>
        <w:t>В пункте 19 раздела II «Информационная карта конкурса» конкурсной документации Заказчиком в качестве даты окончания предоставления разъяснений положений конкурсной документации указано 14 октября 2017 года.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16"/>
        </w:rPr>
        <w:t>Из содержания извещения о проведении открытого конкурса и конкурсной документации следует, что датой окончания срока подачи заявок является 20 октября 2017 года.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78" w:lineRule="exact"/>
        <w:ind w:left="20" w:right="20" w:firstLine="700"/>
      </w:pPr>
      <w:r>
        <w:rPr>
          <w:rStyle w:val="CharStyle16"/>
        </w:rPr>
        <w:t>Пятью днями до даты окончания срока подачи заявок на участие в открытом конкурсе являются: 19.10.2017, 18.10.2017, 17.10.2017, 16.10.2017, 15.10.2017. Последним днем подачи запроса о даче разъяснений положений конкурсной документации является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</w:pPr>
      <w:r>
        <w:rPr>
          <w:rStyle w:val="CharStyle16"/>
        </w:rPr>
        <w:t>14.10.2017.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16"/>
        </w:rPr>
        <w:t xml:space="preserve">Исходя из части 7 статьи 50 ФЗ </w:t>
      </w:r>
      <w:r>
        <w:rPr>
          <w:rStyle w:val="CharStyle45"/>
        </w:rPr>
        <w:t>«О</w:t>
      </w:r>
      <w:r>
        <w:rPr>
          <w:rStyle w:val="CharStyle16"/>
        </w:rPr>
        <w:t xml:space="preserve"> контрактной системе», Заказчик в течение двух рабочих дней с даты поступления указанного запроса обязан направить в письменной форме или в форме электронного документа разъяснения положений конкурсной документации, а именно - по 16.10.2017.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20" w:right="20" w:firstLine="700"/>
      </w:pPr>
      <w:r>
        <w:rPr>
          <w:rStyle w:val="CharStyle16"/>
        </w:rPr>
        <w:t>Исходя из вышеизложенного, Заказчиком неверно определена дата окончания срока предоставления участникам открытого конкурса разъяснений положений конкурсной документации.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236" w:line="269" w:lineRule="exact"/>
        <w:ind w:left="20" w:right="20" w:firstLine="700"/>
      </w:pPr>
      <w:r>
        <w:rPr>
          <w:rStyle w:val="CharStyle50"/>
          <w:b/>
          <w:bCs/>
        </w:rPr>
        <w:t>Таким образом, Заказчиком нарушен пункт 8 части 1 статьи 50 ФЗ «О контрактной системе».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83" w:line="274" w:lineRule="exact"/>
        <w:ind w:left="20" w:right="20" w:firstLine="700"/>
      </w:pPr>
      <w:r>
        <w:rPr>
          <w:rStyle w:val="CharStyle16"/>
        </w:rPr>
        <w:t xml:space="preserve">Руководствуясь пунктом 1 части 15 статьи 99 и частью 8 статьи 106 ФЗ </w:t>
      </w:r>
      <w:r>
        <w:rPr>
          <w:rStyle w:val="CharStyle45"/>
        </w:rPr>
        <w:t xml:space="preserve">«О </w:t>
      </w:r>
      <w:r>
        <w:rPr>
          <w:rStyle w:val="CharStyle16"/>
        </w:rPr>
        <w:t>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left"/>
        <w:spacing w:before="0" w:after="313" w:line="220" w:lineRule="exact"/>
        <w:ind w:left="4460" w:right="0" w:firstLine="0"/>
      </w:pPr>
      <w:r>
        <w:rPr>
          <w:rStyle w:val="CharStyle26"/>
          <w:b/>
          <w:bCs/>
        </w:rPr>
        <w:t>РЕШИЛА:</w:t>
      </w:r>
    </w:p>
    <w:p>
      <w:pPr>
        <w:pStyle w:val="Style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700"/>
      </w:pPr>
      <w:r>
        <w:rPr>
          <w:rStyle w:val="CharStyle16"/>
        </w:rPr>
        <w:t xml:space="preserve"> Признать жалобу ООО "АудитПроф" необоснованной.</w:t>
      </w:r>
    </w:p>
    <w:p>
      <w:pPr>
        <w:pStyle w:val="Style14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jc w:val="left"/>
        <w:spacing w:before="0" w:after="279" w:line="274" w:lineRule="exact"/>
        <w:ind w:left="20" w:right="280" w:firstLine="700"/>
      </w:pPr>
      <w:r>
        <w:rPr>
          <w:rStyle w:val="CharStyle16"/>
        </w:rPr>
        <w:t xml:space="preserve"> Признать Заказчика нарушившим пункт 8 части 1 статьи 50 ФЗ «О контрактной системе».</w:t>
      </w:r>
    </w:p>
    <w:p>
      <w:pPr>
        <w:pStyle w:val="Style24"/>
        <w:framePr w:h="211" w:vSpace="331" w:wrap="around" w:vAnchor="text" w:hAnchor="margin" w:x="7653" w:y="122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rStyle w:val="CharStyle43"/>
          <w:b/>
          <w:bCs/>
          <w:spacing w:val="0"/>
        </w:rPr>
        <w:t>И.Ю. Короткова</w:t>
      </w:r>
    </w:p>
    <w:p>
      <w:pPr>
        <w:pStyle w:val="Style51"/>
        <w:widowControl w:val="0"/>
        <w:keepNext w:val="0"/>
        <w:keepLines w:val="0"/>
        <w:shd w:val="clear" w:color="auto" w:fill="auto"/>
        <w:bidi w:val="0"/>
        <w:spacing w:before="0" w:after="0"/>
        <w:ind w:left="20" w:right="20" w:firstLine="0"/>
      </w:pPr>
      <w:r>
        <w:rPr>
          <w:rStyle w:val="CharStyle53"/>
          <w:i/>
          <w:iCs/>
        </w:rPr>
        <w:t>Примечание.</w:t>
      </w:r>
      <w:r>
        <w:rPr>
          <w:rStyle w:val="CharStyle54"/>
          <w:i/>
          <w:iCs/>
        </w:rPr>
        <w:t xml:space="preserve"> </w:t>
      </w:r>
      <w:r>
        <w:rPr>
          <w:rStyle w:val="CharStyle55"/>
          <w:i/>
          <w:iCs/>
        </w:rPr>
        <w:t>Согласно части 9 статьи 106 ФЗ «О контрактной системе» решение, принятое по результатам рассмотрения жалобы по суи/еству, может быть обжаловано в судебном порядке в течение трех месяцев со дня его принятия.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20" w:right="0" w:firstLine="0"/>
      </w:pPr>
      <w:r>
        <w:rPr>
          <w:rStyle w:val="CharStyle50"/>
          <w:b/>
          <w:bCs/>
        </w:rPr>
        <w:t>Председатель Комиссии</w:t>
      </w:r>
    </w:p>
    <w:p>
      <w:pPr>
        <w:pStyle w:val="Style24"/>
        <w:framePr w:h="199" w:wrap="around" w:vAnchor="text" w:hAnchor="margin" w:x="47" w:y="-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</w:pPr>
      <w:r>
        <w:rPr>
          <w:rStyle w:val="CharStyle44"/>
          <w:b/>
          <w:bCs/>
          <w:spacing w:val="0"/>
        </w:rPr>
        <w:t>Члены Комиссии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right"/>
        <w:spacing w:before="0" w:after="303" w:line="220" w:lineRule="exact"/>
        <w:ind w:left="0" w:right="20" w:firstLine="0"/>
      </w:pPr>
      <w:r>
        <w:rPr>
          <w:rStyle w:val="CharStyle50"/>
          <w:b/>
          <w:bCs/>
        </w:rPr>
        <w:t>Н.В. Вознесенская</w:t>
      </w:r>
    </w:p>
    <w:p>
      <w:pPr>
        <w:pStyle w:val="Style24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20" w:firstLine="0"/>
      </w:pPr>
      <w:r>
        <w:rPr>
          <w:rStyle w:val="CharStyle50"/>
          <w:b/>
          <w:bCs/>
        </w:rPr>
        <w:t>Л.А. Чирова</w:t>
      </w:r>
      <w:r>
        <w:br w:type="page"/>
      </w:r>
    </w:p>
    <w:sectPr>
      <w:pgSz w:w="11906" w:h="16838"/>
      <w:pgMar w:top="1060" w:left="1201" w:right="1177" w:bottom="77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Заголовок №2_"/>
    <w:basedOn w:val="DefaultParagraphFont"/>
    <w:link w:val="Style6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Заголовок №2"/>
    <w:basedOn w:val="CharStyle7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0">
    <w:name w:val="Основной текст (3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2)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Основной текст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8">
    <w:name w:val="Заголовок №1_"/>
    <w:basedOn w:val="DefaultParagraphFont"/>
    <w:link w:val="Style17"/>
    <w:rPr>
      <w:b/>
      <w:bCs/>
      <w:i/>
      <w:iCs/>
      <w:u w:val="none"/>
      <w:strike w:val="0"/>
      <w:smallCaps w:val="0"/>
      <w:sz w:val="38"/>
      <w:szCs w:val="38"/>
      <w:rFonts w:ascii="Segoe UI" w:eastAsia="Segoe UI" w:hAnsi="Segoe UI" w:cs="Segoe UI"/>
    </w:rPr>
  </w:style>
  <w:style w:type="character" w:customStyle="1" w:styleId="CharStyle19">
    <w:name w:val="Заголовок №1"/>
    <w:basedOn w:val="CharStyle18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1">
    <w:name w:val="Основной текст (4)_"/>
    <w:basedOn w:val="DefaultParagraphFont"/>
    <w:link w:val="Style20"/>
    <w:rPr>
      <w:b w:val="0"/>
      <w:bCs w:val="0"/>
      <w:i/>
      <w:iCs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character" w:customStyle="1" w:styleId="CharStyle22">
    <w:name w:val="Основной текст (4)"/>
    <w:basedOn w:val="CharStyle2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Основной текст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5">
    <w:name w:val="Основной текст (5)_"/>
    <w:basedOn w:val="DefaultParagraphFont"/>
    <w:link w:val="Style24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6">
    <w:name w:val="Основной текст (5)"/>
    <w:basedOn w:val="CharStyle2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7">
    <w:name w:val="Основной текст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8">
    <w:name w:val="Основной текст (5)"/>
    <w:basedOn w:val="CharStyle2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9">
    <w:name w:val="Основной текст + Полужирный"/>
    <w:basedOn w:val="CharStyle15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30">
    <w:name w:val="Основной текст (5) + 7,5 pt,Не полужирный"/>
    <w:basedOn w:val="CharStyle25"/>
    <w:rPr>
      <w:lang w:val="ru-RU" w:eastAsia="ru-RU" w:bidi="ru-RU"/>
      <w:b/>
      <w:bCs/>
      <w:u w:val="single"/>
      <w:sz w:val="15"/>
      <w:szCs w:val="15"/>
      <w:w w:val="100"/>
      <w:spacing w:val="0"/>
      <w:color w:val="000000"/>
      <w:position w:val="0"/>
    </w:rPr>
  </w:style>
  <w:style w:type="character" w:customStyle="1" w:styleId="CharStyle31">
    <w:name w:val="Основной текст (5) + 7,5 pt,Не полужирный"/>
    <w:basedOn w:val="CharStyle25"/>
    <w:rPr>
      <w:lang w:val="ru-RU" w:eastAsia="ru-RU" w:bidi="ru-RU"/>
      <w:b/>
      <w:bCs/>
      <w:u w:val="single"/>
      <w:sz w:val="15"/>
      <w:szCs w:val="15"/>
      <w:w w:val="100"/>
      <w:spacing w:val="0"/>
      <w:color w:val="000000"/>
      <w:position w:val="0"/>
    </w:rPr>
  </w:style>
  <w:style w:type="character" w:customStyle="1" w:styleId="CharStyle33">
    <w:name w:val="Основной текст (6)_"/>
    <w:basedOn w:val="DefaultParagraphFont"/>
    <w:link w:val="Style32"/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character" w:customStyle="1" w:styleId="CharStyle34">
    <w:name w:val="Основной текст (6)"/>
    <w:basedOn w:val="CharStyle33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5">
    <w:name w:val="Основной текст (6) + 13 pt,Полужирный,Интервал 2 pt"/>
    <w:basedOn w:val="CharStyle33"/>
    <w:rPr>
      <w:lang w:val="ru-RU" w:eastAsia="ru-RU" w:bidi="ru-RU"/>
      <w:b/>
      <w:bCs/>
      <w:sz w:val="26"/>
      <w:szCs w:val="26"/>
      <w:w w:val="100"/>
      <w:spacing w:val="50"/>
      <w:color w:val="000000"/>
      <w:position w:val="0"/>
    </w:rPr>
  </w:style>
  <w:style w:type="character" w:customStyle="1" w:styleId="CharStyle37">
    <w:name w:val="Основной текст (7)_"/>
    <w:basedOn w:val="DefaultParagraphFont"/>
    <w:link w:val="Style36"/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38">
    <w:name w:val="Основной текст (7)"/>
    <w:basedOn w:val="CharStyle3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39">
    <w:name w:val="Основной текст + Курсив"/>
    <w:basedOn w:val="CharStyle15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0">
    <w:name w:val="Основной текст"/>
    <w:basedOn w:val="CharStyle1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41">
    <w:name w:val="Основной текст + Курсив"/>
    <w:basedOn w:val="CharStyle15"/>
    <w:rPr>
      <w:lang w:val="ru-RU" w:eastAsia="ru-RU" w:bidi="ru-RU"/>
      <w:i/>
      <w:iCs/>
      <w:u w:val="single"/>
      <w:w w:val="100"/>
      <w:spacing w:val="0"/>
      <w:color w:val="000000"/>
      <w:position w:val="0"/>
    </w:rPr>
  </w:style>
  <w:style w:type="character" w:customStyle="1" w:styleId="CharStyle42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  <w:spacing w:val="6"/>
    </w:rPr>
  </w:style>
  <w:style w:type="character" w:customStyle="1" w:styleId="CharStyle43">
    <w:name w:val="Основной текст (5) Exact"/>
    <w:basedOn w:val="CharStyle25"/>
    <w:rPr>
      <w:lang w:val="ru-RU" w:eastAsia="ru-RU" w:bidi="ru-RU"/>
      <w:sz w:val="20"/>
      <w:szCs w:val="20"/>
      <w:w w:val="100"/>
      <w:spacing w:val="6"/>
      <w:color w:val="000000"/>
      <w:position w:val="0"/>
    </w:rPr>
  </w:style>
  <w:style w:type="character" w:customStyle="1" w:styleId="CharStyle44">
    <w:name w:val="Основной текст (5) Exact"/>
    <w:basedOn w:val="CharStyle25"/>
    <w:rPr>
      <w:lang w:val="ru-RU" w:eastAsia="ru-RU" w:bidi="ru-RU"/>
      <w:sz w:val="20"/>
      <w:szCs w:val="20"/>
      <w:w w:val="100"/>
      <w:spacing w:val="6"/>
      <w:color w:val="000000"/>
      <w:position w:val="0"/>
    </w:rPr>
  </w:style>
  <w:style w:type="character" w:customStyle="1" w:styleId="CharStyle45">
    <w:name w:val="Основной текст + Курсив"/>
    <w:basedOn w:val="CharStyle15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46">
    <w:name w:val="Основной текст (7)"/>
    <w:basedOn w:val="CharStyle3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47">
    <w:name w:val="Основной текст + 4 pt"/>
    <w:basedOn w:val="CharStyle15"/>
    <w:rPr>
      <w:lang w:val="ru-RU" w:eastAsia="ru-RU" w:bidi="ru-RU"/>
      <w:sz w:val="8"/>
      <w:szCs w:val="8"/>
      <w:w w:val="100"/>
      <w:spacing w:val="0"/>
      <w:color w:val="000000"/>
      <w:position w:val="0"/>
    </w:rPr>
  </w:style>
  <w:style w:type="character" w:customStyle="1" w:styleId="CharStyle48">
    <w:name w:val="Основной текст + Полужирный,Курсив"/>
    <w:basedOn w:val="CharStyle15"/>
    <w:rPr>
      <w:lang w:val="ru-RU" w:eastAsia="ru-RU" w:bidi="ru-RU"/>
      <w:b/>
      <w:bCs/>
      <w:i/>
      <w:iCs/>
      <w:w w:val="100"/>
      <w:spacing w:val="0"/>
      <w:color w:val="000000"/>
      <w:position w:val="0"/>
    </w:rPr>
  </w:style>
  <w:style w:type="character" w:customStyle="1" w:styleId="CharStyle49">
    <w:name w:val="Основной текст"/>
    <w:basedOn w:val="CharStyle1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0">
    <w:name w:val="Основной текст (5)"/>
    <w:basedOn w:val="CharStyle25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52">
    <w:name w:val="Основной текст (8)_"/>
    <w:basedOn w:val="DefaultParagraphFont"/>
    <w:link w:val="Style51"/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53">
    <w:name w:val="Основной текст (8) + Полужирный"/>
    <w:basedOn w:val="CharStyle52"/>
    <w:rPr>
      <w:lang w:val="ru-RU" w:eastAsia="ru-RU" w:bidi="ru-RU"/>
      <w:b/>
      <w:bCs/>
      <w:u w:val="single"/>
      <w:w w:val="100"/>
      <w:spacing w:val="0"/>
      <w:color w:val="000000"/>
      <w:position w:val="0"/>
    </w:rPr>
  </w:style>
  <w:style w:type="character" w:customStyle="1" w:styleId="CharStyle54">
    <w:name w:val="Основной текст (8) + Полужирный"/>
    <w:basedOn w:val="CharStyle52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55">
    <w:name w:val="Основной текст (8)"/>
    <w:basedOn w:val="CharStyle52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after="120" w:line="254" w:lineRule="exact"/>
    </w:pPr>
    <w:rPr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6">
    <w:name w:val="Заголовок №2"/>
    <w:basedOn w:val="Normal"/>
    <w:link w:val="CharStyle7"/>
    <w:pPr>
      <w:widowControl w:val="0"/>
      <w:shd w:val="clear" w:color="auto" w:fill="FFFFFF"/>
      <w:jc w:val="center"/>
      <w:outlineLvl w:val="1"/>
      <w:spacing w:before="120" w:after="300" w:line="298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FFFFFF"/>
      <w:jc w:val="center"/>
      <w:spacing w:before="300" w:line="197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spacing w:after="480" w:line="25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FFFFFF"/>
      <w:outlineLvl w:val="0"/>
      <w:spacing w:after="60" w:line="0" w:lineRule="exact"/>
    </w:pPr>
    <w:rPr>
      <w:b/>
      <w:bCs/>
      <w:i/>
      <w:iCs/>
      <w:u w:val="none"/>
      <w:strike w:val="0"/>
      <w:smallCaps w:val="0"/>
      <w:sz w:val="38"/>
      <w:szCs w:val="38"/>
      <w:rFonts w:ascii="Segoe UI" w:eastAsia="Segoe UI" w:hAnsi="Segoe UI" w:cs="Segoe UI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FFFFFF"/>
      <w:spacing w:before="60" w:after="60" w:line="0" w:lineRule="exact"/>
    </w:pPr>
    <w:rPr>
      <w:b w:val="0"/>
      <w:bCs w:val="0"/>
      <w:i/>
      <w:iCs/>
      <w:u w:val="none"/>
      <w:strike w:val="0"/>
      <w:smallCaps w:val="0"/>
      <w:sz w:val="10"/>
      <w:szCs w:val="10"/>
      <w:rFonts w:ascii="Times New Roman" w:eastAsia="Times New Roman" w:hAnsi="Times New Roman" w:cs="Times New Roman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FFFFFF"/>
      <w:spacing w:before="600" w:after="18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32">
    <w:name w:val="Основной текст (6)"/>
    <w:basedOn w:val="Normal"/>
    <w:link w:val="CharStyle33"/>
    <w:pPr>
      <w:widowControl w:val="0"/>
      <w:shd w:val="clear" w:color="auto" w:fill="FFFFFF"/>
      <w:jc w:val="both"/>
      <w:spacing w:before="60" w:line="0" w:lineRule="exact"/>
    </w:pPr>
    <w:rPr>
      <w:b w:val="0"/>
      <w:bCs w:val="0"/>
      <w:i w:val="0"/>
      <w:iCs w:val="0"/>
      <w:u w:val="none"/>
      <w:strike w:val="0"/>
      <w:smallCaps w:val="0"/>
      <w:sz w:val="11"/>
      <w:szCs w:val="11"/>
      <w:rFonts w:ascii="Times New Roman" w:eastAsia="Times New Roman" w:hAnsi="Times New Roman" w:cs="Times New Roman"/>
    </w:rPr>
  </w:style>
  <w:style w:type="paragraph" w:customStyle="1" w:styleId="Style36">
    <w:name w:val="Основной текст (7)"/>
    <w:basedOn w:val="Normal"/>
    <w:link w:val="CharStyle37"/>
    <w:pPr>
      <w:widowControl w:val="0"/>
      <w:shd w:val="clear" w:color="auto" w:fill="FFFFFF"/>
      <w:jc w:val="both"/>
      <w:spacing w:line="278" w:lineRule="exact"/>
      <w:ind w:firstLine="700"/>
    </w:pPr>
    <w:rPr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51">
    <w:name w:val="Основной текст (8)"/>
    <w:basedOn w:val="Normal"/>
    <w:link w:val="CharStyle52"/>
    <w:pPr>
      <w:widowControl w:val="0"/>
      <w:shd w:val="clear" w:color="auto" w:fill="FFFFFF"/>
      <w:jc w:val="both"/>
      <w:spacing w:before="240" w:after="60" w:line="226" w:lineRule="exact"/>
    </w:pPr>
    <w:rPr>
      <w:b w:val="0"/>
      <w:bCs w:val="0"/>
      <w:i/>
      <w:iCs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