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04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47" w:left="1302" w:right="6726" w:bottom="78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line="228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Крым и городу Севастополю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3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Адрес: ул. Александра Невского, д. 1, г. Симферополь, Республика Крым, 295000 тел. (3652) 544-638, факс (3652) 252-431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"mailto:to82@fas.gov.ru"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to82@fas.gov.ru</w:t>
      </w:r>
      <w:r>
        <w:fldChar w:fldCharType="end"/>
      </w:r>
    </w:p>
    <w:p>
      <w:pPr>
        <w:pStyle w:val="Style7"/>
        <w:numPr>
          <w:ilvl w:val="0"/>
          <w:numId w:val="1"/>
        </w:numPr>
        <w:tabs>
          <w:tab w:leader="none" w:pos="1378" w:val="lef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№06/12599</w:t>
      </w:r>
    </w:p>
    <w:p>
      <w:pPr>
        <w:pStyle w:val="Style7"/>
        <w:numPr>
          <w:ilvl w:val="0"/>
          <w:numId w:val="3"/>
        </w:numPr>
        <w:tabs>
          <w:tab w:leader="none" w:pos="368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жилищно-коммунального хозяйства Администрации города Керчи Республики Крым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0"/>
        <w:sectPr>
          <w:type w:val="continuous"/>
          <w:pgSz w:w="11906" w:h="16838"/>
          <w:pgMar w:top="847" w:left="909" w:right="981" w:bottom="789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298300, Республика Крым, г. Керчь, ул. Кирова, 5, каб. 354</w:t>
      </w: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tabs>
          <w:tab w:leader="none" w:pos="5256" w:val="right"/>
          <w:tab w:leader="none" w:pos="6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 б/н, б/д</w:t>
        <w:tab/>
        <w:t>2.</w:t>
        <w:tab/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50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508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ответственностью «ИНВЕСТИЦИОННО СТРОИТЕЛЬНАЯ КОМПАНИЯ «МАСТЕР-КЛАСС»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508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153025, Ивановская область, г. Иваново,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20" w:line="322" w:lineRule="exact"/>
        <w:ind w:left="50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Дзержинского, д. 39, офис 414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09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№06/4113-17 о нарушении законодательства Российской Федерации о контрактной системе в сфере закупок</w:t>
      </w:r>
    </w:p>
    <w:p>
      <w:pPr>
        <w:pStyle w:val="Style7"/>
        <w:numPr>
          <w:ilvl w:val="0"/>
          <w:numId w:val="5"/>
        </w:numPr>
        <w:tabs>
          <w:tab w:leader="none" w:pos="8194" w:val="center"/>
          <w:tab w:leader="none" w:pos="10080" w:val="right"/>
          <w:tab w:leader="none" w:pos="8146" w:val="left"/>
        </w:tabs>
        <w:widowControl w:val="0"/>
        <w:keepNext w:val="0"/>
        <w:keepLines w:val="0"/>
        <w:shd w:val="clear" w:color="auto" w:fill="auto"/>
        <w:bidi w:val="0"/>
        <w:spacing w:before="0" w:after="73" w:line="260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Симферополь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Республике Крым и городу Севастополю (Крымское УФАС России) (далее - Комиссия) в составе: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заместителя руководителя Крымского УФАС России М. С. Муравьёва,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начальника отдела контроля закупок Крымского УФАС России Н. П. Казаковой члена Комиссии: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 - эксперта отдела контроля в сфере естественных монополий и на товарных рынках Крымского УФАС России О. А. Шалимовой, —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представителя интересов Заказчика Н.В. Варенюк (по доверенности),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Заявителя на заседание Комиссии не явились, - рассмотрев жалобу Заявителя б/н, б/д (вх. №4698/09 от 27.10.2017) на действия Заказчика при проведении открытого конкурса «Выполнение работ по разработке проекта организации дорожного движения в муниципальном</w:t>
      </w:r>
    </w:p>
    <w:p>
      <w:pPr>
        <w:pStyle w:val="Style7"/>
        <w:tabs>
          <w:tab w:leader="none" w:pos="5257" w:val="center"/>
          <w:tab w:leader="none" w:pos="10212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образовании</w:t>
        <w:tab/>
        <w:t>городской округ Керчь Республики Крым»</w:t>
        <w:tab/>
        <w:t>(извещение</w:t>
      </w:r>
    </w:p>
    <w:p>
      <w:pPr>
        <w:pStyle w:val="Style7"/>
        <w:tabs>
          <w:tab w:leader="none" w:pos="5257" w:val="center"/>
          <w:tab w:leader="none" w:pos="10212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№0175300011917000081) (далее — Конкурс), в соответствии со статьей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согласно Административного регламента</w:t>
        <w:tab/>
        <w:t>Федеральной антимонопольной службы по</w:t>
        <w:tab/>
        <w:t>исполнению</w:t>
      </w:r>
    </w:p>
    <w:p>
      <w:pPr>
        <w:pStyle w:val="Style7"/>
        <w:tabs>
          <w:tab w:leader="none" w:pos="5257" w:val="center"/>
          <w:tab w:leader="none" w:pos="10212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государственной функции по рассмотрению жалоб на действия (бездействие) заказчика,</w:t>
        <w:tab/>
        <w:t>уполномоченного органа, уполномоченного</w:t>
        <w:tab/>
        <w:t>учреждения,</w:t>
      </w:r>
    </w:p>
    <w:p>
      <w:pPr>
        <w:pStyle w:val="Style7"/>
        <w:tabs>
          <w:tab w:leader="none" w:pos="10212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Федеральной антимонопольной службы от 19.11.2014</w:t>
        <w:tab/>
        <w:t>№727/14,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0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зарегистрированного в Министерстве юстиции Российской Федерации 27.02.2015 за №36262 (далее - Административный регламент от 19.11.2014 №727/14),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88" w:line="260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Крымское УФАС России поступила жалоба Заявителя на действия Заказчика при проведении Конкурса.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его права и законные интересы нарушены следующими действиями Заказчика: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Заказчиком в Конкурсной документации установлены ненадлежащие критерии и порядок оценки заявок участников на участие в Конкурсе.</w:t>
      </w:r>
    </w:p>
    <w:p>
      <w:pPr>
        <w:pStyle w:val="Style7"/>
        <w:numPr>
          <w:ilvl w:val="0"/>
          <w:numId w:val="3"/>
        </w:numPr>
        <w:tabs>
          <w:tab w:leader="none" w:pos="1239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в Конкурсной документации установлены требования не к участникам закупки, что вводит потенциальных участников закупки в заблуждение.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Крымским УФАС России принято уведомление о поступлении жалобы и приостановлении торгов от 27.10.2017 №06/12319, направленное Заявителю, Заказчику, Оператору электронной площадки и размещенное на официальном сайте Единой информационной системы в сфере закупок (далее - официальный сайт).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заседания Комиссии представитель Заказчика не согласился с доводами Заявителя и сообщил, что при проведении Конкурса Заказчик руководствовался требованиями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Комиссия установила следующее.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извещение об осуществлении закупки размещено на официальном сайте - 06.10.2017;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способ определения поставщика (подрядчика, исполнителя) - открытый конкурс;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начальная (максимальная) цена контракта - 4 000 000,00 рублей;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дата и время окончания подачи заявок: 27.10.2017 10:00, дата и время вскрытия конвертов с заявками и (или) открытия доступа к поданным в форме электронных документов заявкам: 27.10.2017 10:00; дата рассмотрения и оценки заявок на участие в конкурсе: 30.10.2017;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72" w:line="260" w:lineRule="exact"/>
        <w:ind w:left="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на участие в Конкурсе подано 3 заявки.</w:t>
      </w:r>
    </w:p>
    <w:p>
      <w:pPr>
        <w:pStyle w:val="Style7"/>
        <w:numPr>
          <w:ilvl w:val="0"/>
          <w:numId w:val="9"/>
        </w:numPr>
        <w:tabs>
          <w:tab w:leader="none" w:pos="1071" w:val="left"/>
        </w:tabs>
        <w:widowControl w:val="0"/>
        <w:keepNext w:val="0"/>
        <w:keepLines w:val="0"/>
        <w:shd w:val="clear" w:color="auto" w:fill="auto"/>
        <w:bidi w:val="0"/>
        <w:spacing w:before="0" w:after="56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качестве довода жалобы Заявитель указывает на то, что Заказчиком в Конкурсной документации установлены ненадлежащие критерии и порядок оценки заявок участников на участие в Конкурсе.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пункта 9 части 1 статьи 50 Закона о контрактной системе конкурсная документация наряду с информацией, указанной в извещении о проведении открытого конкурса, должна содержать критерии оценки заявок на участие в открытом конкурсе, величины значимости этих критериев, порядок рассмотрения и оценки заявок на участие в открытом конкурсе в соответствии с Законом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5 статьи 53 Закона о контрактной системе конкурсная комиссия осуществляет оценку заявок на участие в конкурсе, которые не были отклонены, для выявления победителя конкурса на основе критериев, указанных в конкурсной документации.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контракта. Заявке на участие в конкурсе, в которой содержатся лучшие условия исполнения контракта, присваивается первый номер.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8 статьи 32 Закона о контрактной системе определено, что порядок оценки заявок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— Правила от 28.11.2013 №1085).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4 Правил от 28.11.2013 №1085 для оценки заявок заказчик устанавливает в документации о закупке следующие критерии оценки: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стоимостные критерии оценки, в том числе цена контракта;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нестоимостные критерии оценки: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качественные, функциональные и экологические характеристики объекта закупки;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(далее - квалификация участников закупки).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положениями пункта 8 Правил от 28.11.2013 №1085 для оценки заявок заказчик устанавливает в документации о закупке не менее двух критериев оценки, одним из которых должен быть критерий «цена контракта». Заказчик в Конкурсной документации установил: </w:t>
      </w:r>
      <w:r>
        <w:rPr>
          <w:rStyle w:val="CharStyle12"/>
        </w:rPr>
        <w:t>«...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0" w:line="2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ПОРЯДОК РАССМОТРЕНИЯ И ОЦЕНКИ ЗАЯВОК НА УЧАСТИЕ В ОТКРЫТОМ КОНКУРСЕ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Оценка заявок на участие в открытом конкурсе: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целях определения победителя открытого конкурса комиссия по осуществлению закупок производит оценку заявок на участие в открытом конкурсе, которые не были отклонены. Оценка заявок на участие в открытом конкурсе осуществляется в соответствии с Правилами оценки заявок, окончательных предложений участников закупки товаров, работ, услуг для обеспечения государственных и муниципальных нужд, утвержденными Постановлением Правительства РФ от 28.11.2013 № 1085.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Используемые для определения победителя открытого конкурса критерии оценки и величины их значимости указаны в РАЗДЕЛЕ «КРИТЕРИИ ОЦЕНКИ ЗАЯВОК НА УЧАСТИЕ В ОТКРЫТОМ КОНКУРСЕ».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Оценка заявок на участие в открытом конкурсе осуществляется путем сопоставления их итоговых рейтингов. Итоговый рейтинг заявки на участие в открытом конкурсе вычисляется как сумма рейтингов заявки по каждому критерию оценки.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Рейтинг заявки по критерию оценки представляет собой оценку в баллах, получаемую участником открытого конкурса по результатам оценки по критерию оценки с учетом коэффициента значимости критерия оценки. Дробное значение рейтинга заявки по критерию оценки заявки округляется до двух десятичных знаков после запятой по математическим правилам округления.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Значимость критериев определяется в процентах. При этом для расчетов рейтингов применяется коэффициент значимости, равный значению соответствующего критерия в процентах, деленному на 100.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основании результатов оценки заявок на участие в конкурсе конкурсная комиссия присваивает каждой заявке на участие в открытом конкурсе порядковый номер в порядке уменьшения степени выгодности, содержащихся в них условий исполнения контракта.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Заявке на участие в открытом конкурсе, в которой содержатся лучшие условия исполнения контракта, присваивается первый номер.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случае, если в нескольких заявках на участие в открытом конкурсе содержатся одинаковые условия исполнения контракта, меньший порядковый номер присваивается заявке на участие в открытом конкурсе, которая поступила ранее других заявок на участие в открытом конкурсе, содержащих такие же условия.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220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Победителем открытого конкурса признается участник открытого конкурса, который предложил лучшие условия исполнения контракта на основе критериев, указанных в конкурсной документации, и заявке на участие в открытом конкурсе которого присвоен первый номер.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8" w:line="200" w:lineRule="exact"/>
        <w:ind w:left="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Оценка заявок по критерию «Цена контракта»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14" w:line="200" w:lineRule="exact"/>
        <w:ind w:left="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Количество баллов, присуждаемых по критерию «Цена контракта» (ЦБУ определяется по формуле: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154" w:line="200" w:lineRule="exact"/>
        <w:ind w:left="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а) в случае если Ц </w:t>
      </w:r>
      <w:r>
        <w:rPr>
          <w:lang w:val="en-US" w:eastAsia="en-US" w:bidi="en-US"/>
          <w:vertAlign w:val="subscript"/>
          <w:w w:val="100"/>
          <w:spacing w:val="0"/>
          <w:color w:val="000000"/>
          <w:position w:val="0"/>
        </w:rPr>
        <w:t>min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&gt; 0 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4740" w:right="0" w:firstLine="0"/>
      </w:pPr>
      <w:r>
        <w:rPr>
          <w:lang w:val="ru-RU" w:eastAsia="ru-RU" w:bidi="ru-RU"/>
          <w:w w:val="100"/>
          <w:color w:val="000000"/>
          <w:position w:val="0"/>
        </w:rPr>
        <w:t>Ц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60" w:right="4100"/>
      </w:pPr>
      <w:r>
        <w:rPr>
          <w:rStyle w:val="CharStyle17"/>
          <w:b w:val="0"/>
          <w:bCs w:val="0"/>
        </w:rPr>
        <w:t xml:space="preserve">ЦБ </w:t>
      </w:r>
      <w:r>
        <w:rPr>
          <w:lang w:val="ru-RU" w:eastAsia="ru-RU" w:bidi="ru-RU"/>
          <w:w w:val="100"/>
          <w:spacing w:val="0"/>
          <w:color w:val="000000"/>
          <w:position w:val="0"/>
        </w:rPr>
        <w:t>= —</w:t>
      </w:r>
      <w:r>
        <w:rPr>
          <w:rStyle w:val="CharStyle17"/>
          <w:b w:val="0"/>
          <w:bCs w:val="0"/>
        </w:rPr>
        <w:t>^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X </w:t>
      </w:r>
      <w:r>
        <w:rPr>
          <w:rStyle w:val="CharStyle17"/>
          <w:b w:val="0"/>
          <w:bCs w:val="0"/>
        </w:rPr>
        <w:t xml:space="preserve">100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,где </w:t>
      </w:r>
      <w:r>
        <w:rPr>
          <w:rStyle w:val="CharStyle18"/>
          <w:b w:val="0"/>
          <w:bCs w:val="0"/>
        </w:rPr>
        <w:t xml:space="preserve">' </w:t>
      </w:r>
      <w:r>
        <w:rPr>
          <w:rStyle w:val="CharStyle17"/>
          <w:b w:val="0"/>
          <w:bCs w:val="0"/>
        </w:rPr>
        <w:t xml:space="preserve">Ц </w:t>
      </w:r>
      <w:r>
        <w:rPr>
          <w:rStyle w:val="CharStyle18"/>
          <w:lang w:val="en-US" w:eastAsia="en-US" w:bidi="en-US"/>
          <w:b w:val="0"/>
          <w:bCs w:val="0"/>
        </w:rPr>
        <w:t>i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29" w:line="20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Ц; - предложение участника конкурса, заявка которого оценивается;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81" w:line="20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Ц </w:t>
      </w:r>
      <w:r>
        <w:rPr>
          <w:lang w:val="en-US" w:eastAsia="en-US" w:bidi="en-US"/>
          <w:vertAlign w:val="subscript"/>
          <w:w w:val="100"/>
          <w:spacing w:val="0"/>
          <w:color w:val="000000"/>
          <w:position w:val="0"/>
        </w:rPr>
        <w:t>min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минимальное предложение из предложений по данному критерию оценки, сделанных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14" w:line="20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участниками конкурса;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б) в случае если Ц </w:t>
      </w:r>
      <w:r>
        <w:rPr>
          <w:lang w:val="en-US" w:eastAsia="en-US" w:bidi="en-US"/>
          <w:vertAlign w:val="subscript"/>
          <w:w w:val="100"/>
          <w:spacing w:val="0"/>
          <w:color w:val="000000"/>
          <w:position w:val="0"/>
        </w:rPr>
        <w:t>min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&lt; 0 ,</w:t>
      </w:r>
    </w:p>
    <w:p>
      <w:pPr>
        <w:pStyle w:val="Style5"/>
        <w:tabs>
          <w:tab w:leader="none" w:pos="549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4440" w:right="0" w:firstLine="0"/>
      </w:pPr>
      <w:r>
        <w:rPr>
          <w:rStyle w:val="CharStyle19"/>
        </w:rPr>
        <w:t>(</w:t>
      </w:r>
      <w:r>
        <w:rPr>
          <w:lang w:val="ru-RU" w:eastAsia="ru-RU" w:bidi="ru-RU"/>
          <w:w w:val="100"/>
          <w:spacing w:val="0"/>
          <w:color w:val="000000"/>
          <w:position w:val="0"/>
        </w:rPr>
        <w:t>Ц</w:t>
        <w:tab/>
      </w:r>
      <w:r>
        <w:rPr>
          <w:rStyle w:val="CharStyle20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Ц </w:t>
      </w:r>
      <w:r>
        <w:rPr>
          <w:rStyle w:val="CharStyle19"/>
        </w:rPr>
        <w:t>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ЦБ </w:t>
      </w:r>
      <w:r>
        <w:rPr>
          <w:rStyle w:val="CharStyle20"/>
          <w:vertAlign w:val="subscript"/>
        </w:rPr>
        <w:t>=</w:t>
      </w:r>
      <w:r>
        <w:rPr>
          <w:rStyle w:val="CharStyle20"/>
        </w:rPr>
        <w:t xml:space="preserve"> </w:t>
      </w:r>
      <w:r>
        <w:rPr>
          <w:rStyle w:val="CharStyle21"/>
          <w:vertAlign w:val="superscript"/>
        </w:rPr>
        <w:t>(</w:t>
      </w:r>
      <w:r>
        <w:rPr>
          <w:rStyle w:val="CharStyle22"/>
          <w:vertAlign w:val="superscript"/>
        </w:rPr>
        <w:t xml:space="preserve">Ц </w:t>
      </w:r>
      <w:r>
        <w:rPr>
          <w:rStyle w:val="CharStyle23"/>
          <w:vertAlign w:val="superscript"/>
        </w:rPr>
        <w:t xml:space="preserve">max </w:t>
      </w:r>
      <w:r>
        <w:rPr>
          <w:rStyle w:val="CharStyle22"/>
          <w:vertAlign w:val="superscript"/>
        </w:rPr>
        <w:t xml:space="preserve">Ц </w:t>
      </w:r>
      <w:r>
        <w:rPr>
          <w:rStyle w:val="CharStyle23"/>
          <w:vertAlign w:val="superscript"/>
        </w:rPr>
        <w:t>i</w:t>
      </w:r>
      <w:r>
        <w:rPr>
          <w:rStyle w:val="CharStyle21"/>
          <w:vertAlign w:val="superscript"/>
        </w:rPr>
        <w:t>)</w:t>
      </w:r>
      <w:r>
        <w:rPr>
          <w:rStyle w:val="CharStyle19"/>
        </w:rPr>
        <w:t xml:space="preserve"> </w:t>
      </w:r>
      <w:r>
        <w:rPr>
          <w:rStyle w:val="CharStyle20"/>
        </w:rPr>
        <w:t>X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100 </w:t>
      </w:r>
      <w:r>
        <w:rPr>
          <w:rStyle w:val="CharStyle19"/>
        </w:rPr>
        <w:t>,где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4160" w:right="0" w:firstLine="0"/>
      </w:pPr>
      <w:r>
        <w:rPr>
          <w:vertAlign w:val="superscript"/>
          <w:w w:val="100"/>
          <w:color w:val="000000"/>
          <w:position w:val="0"/>
        </w:rPr>
        <w:t>i</w:t>
      </w:r>
      <w:r>
        <w:rPr>
          <w:w w:val="100"/>
          <w:color w:val="000000"/>
          <w:position w:val="0"/>
        </w:rPr>
        <w:t xml:space="preserve"> </w:t>
      </w:r>
      <w:r>
        <w:rPr>
          <w:rStyle w:val="CharStyle26"/>
        </w:rPr>
        <w:t>Ц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2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’ </w:t>
      </w:r>
      <w:r>
        <w:rPr>
          <w:w w:val="100"/>
          <w:color w:val="000000"/>
          <w:position w:val="0"/>
        </w:rPr>
        <w:t>max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178" w:line="322" w:lineRule="exact"/>
        <w:ind w:left="740" w:right="20" w:firstLine="0"/>
      </w:pPr>
      <w:r>
        <w:rPr>
          <w:rStyle w:val="CharStyle29"/>
          <w:b w:val="0"/>
          <w:bCs w:val="0"/>
        </w:rPr>
        <w:t xml:space="preserve">Ц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ти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максимальное предложение из предложений по данному критерию, сделанных участниками конкурса.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Оценка заявок по критерию «Качественные, функциональные и экологические характеристики объекта закупки»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оценки заявок по критерию оценки «Качественные, функциональные и экологические характеристики объекта закупки» используется 100-балльная шкала оценки.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Конкурсная комиссия оценивает предложение участника открытого конкурса на соответствие: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содержания предложения объекту закупки;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требованиям, предъявляемым к объекту закупки;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полноте, обоснованности, достоверности представленной информации.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Баллы по критерию оценки «Качественные, функциональные и экологические характеристики объекта закупки» присваиваются следующим образом:</w:t>
      </w:r>
    </w:p>
    <w:p>
      <w:pPr>
        <w:pStyle w:val="Style13"/>
        <w:tabs>
          <w:tab w:leader="none" w:pos="211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560"/>
      </w:pPr>
      <w:r>
        <w:rPr>
          <w:rStyle w:val="CharStyle30"/>
          <w:b/>
          <w:bCs/>
        </w:rPr>
        <w:t>100 баллов: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наличии (предоставлении) предложения по методологии выполнения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работ; календарному плану выполнения работ; составу и структуре работ; технологии проведения работ; используемых средств измерения при проведении работ; организация охраны труда и окружающей среды при производстве работ.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rStyle w:val="CharStyle30"/>
          <w:b/>
          <w:bCs/>
        </w:rPr>
        <w:t xml:space="preserve">50 баллов: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наличии (предоставлении) предложения по методологии выполнения работ; составу и структуре работ; технологии проведения работ; используемых средств измерения при проведении работ; организация охраны труда и окружающей среды при производстве работ.</w:t>
      </w:r>
    </w:p>
    <w:p>
      <w:pPr>
        <w:pStyle w:val="Style13"/>
        <w:tabs>
          <w:tab w:leader="none" w:pos="211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560"/>
      </w:pPr>
      <w:r>
        <w:rPr>
          <w:rStyle w:val="CharStyle30"/>
          <w:b/>
          <w:bCs/>
        </w:rPr>
        <w:t>25 баллов: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наличии (предоставлении) предложения по методологии выполнения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работ; календарному плану выполнения работ; составу и структуре работ; используемых средств измерения при проведении работ; организация охраны труда и окружающей среды при производстве работ.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rStyle w:val="CharStyle30"/>
          <w:b/>
          <w:bCs/>
        </w:rPr>
        <w:t xml:space="preserve">0 баллов: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случае если описание качественных, функциональных и экологических характеристик объекта закупки будет копией ТЕХНИЧЕСКОГО ЗАДАНИЯ, а также несоответствия данного описания (полностью или частично) законодательству Российской Федерации.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Количество баллов, присваиваемых заявке по данному критерию, определяется как среднее арифметическое оценок (в баллах) всех членов комиссии по осуществлению закупок, присуждаемых заявке по данному критерию.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проведения экспертной оценки заявок на участие в открытом конкурсе по критерию «Качественные, функциональные и экологические характеристики выполняемых работ» заказчик вправе привлечь независимого эксперта (экспертную организацию) в данной сфере.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720"/>
      </w:pPr>
      <w:r>
        <w:rPr>
          <w:rStyle w:val="CharStyle12"/>
        </w:rPr>
        <w:t>.»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(цитата).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3 Правил от 28.11.2013 №1085 «оценка» — процесс выявления по критериям оценки и в порядке, установленном в документации о закупке, лучших условий исполнения контракта, указанных в заявках участников закупки, которые не были отклонены.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11 Правил от 28.11.2013 №1085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от 28.11.2013 №1085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в целях выявления лучшего условия исполнения контракта, документация о закупке должна содержать, в частности: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предмет оценки, позволяющий определить исчерпывающий перечень сведений, подлежащих оценке конкурсной комиссией и, соответственно, подлежащих представлению участниками закупки в своих заявках для получения оценки по нестоимостным критериям;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инструкцию по заполнению заявки, позволяющую определить, какие именно сведения подлежат описанию и представлению участниками закупки для оценки конкурсной комиссией.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Комиссия, изучив Конкурсную документацию, установила, что порядок оценки заявок не позволяет выявить лучшее условие исполнения контракта, поскольку в Конкурсной документации не установлена пропорциональная зависимость (формула расчета количества баллов или шкала оценки) между количеством присваиваемых баллов и представляемыми сведениями по критерию "Качественные, функциональные и экологические характеристики объекта закупки", учитывая, что в отношении сведений, представляемых по указанному критерию возможна количественная оценка.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порядок оценки заявок по критерию "Качественные, функциональные и экологические характеристики объекта закупки" не позволяет выявить лучшее условие исполнения контракта, поскольку положения Конкурсной документации не содержат инструкцию по заполнению заявки, позволяющую определить какие именно сведения подлежат описанию и представлению участниками, а также не раскрывают содержание понятий «предложения по методологии выполнения работ», «организация охраны труда и окружающей среды» и прочее, позволяющее определить наличие положительной и/или отрицательной информации о деловой репутации участников закупки, и соответственно подлежащие представлению участниками закупки в своих заявках для получения оценки по нестоимостному критерию "Качественные, функциональные и экологические характеристики объекта закупки".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18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Данные действия Заказчика нарушают пункт 9 части 1 статьи 50 Закона о контрактной системе, Правила от 28.11.2013 №1085 и содержат признаки состава административного правонарушения, ответственность за совершение которого предусмотрена частью 4.2 статьи 7.30 Кодекса Российской Федерации об административных правонарушениях.</w:t>
      </w:r>
    </w:p>
    <w:p>
      <w:pPr>
        <w:pStyle w:val="Style13"/>
        <w:numPr>
          <w:ilvl w:val="0"/>
          <w:numId w:val="9"/>
        </w:numPr>
        <w:tabs>
          <w:tab w:leader="none" w:pos="125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60"/>
      </w:pPr>
      <w:r>
        <w:rPr>
          <w:rStyle w:val="CharStyle31"/>
          <w:b w:val="0"/>
          <w:bCs w:val="0"/>
        </w:rPr>
        <w:t>В жалобе Заявитель указывает: «.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особых условиях технического задания установлено: «Руководители бригад, проводящих полевые работы, обязаны за 7 дней до начала работ проинформировать Заказчика о намечаемых работах и представить Заказчику: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документы (свидетельство о поверке), подтверждающие готовность передвижных лабораторий, приборов м оборудования к выполнению работ;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Ф.И.О. руководителя бригады, номер контактного телефона.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Ответственные лица Заказчика перед началом выполнения работ должны проверить наличие приборов и оборудования на лаборатории для выполнения работ, указанных в настоящем Техническом задании, и свидетельств о поверке на них.».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тоже время п. 3.1 проекта контракта предусматривает: </w:t>
      </w:r>
      <w:r>
        <w:rPr>
          <w:rStyle w:val="CharStyle32"/>
          <w:b/>
          <w:bCs/>
        </w:rPr>
        <w:t>«3.1.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Выполнение работ осуществляется в срок с даты заключения контракта в течении 45 дней (сорока пяти) календарных дней.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заказчиком установлено требование не к участнику закупки (его сотруднику), а также возлагает обязанности на таких третьих лиц ранее срока выполнения работ по контракту...</w:t>
      </w:r>
      <w:r>
        <w:rPr>
          <w:rStyle w:val="CharStyle31"/>
          <w:b w:val="0"/>
          <w:bCs w:val="0"/>
        </w:rPr>
        <w:t>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(цитата жалобы).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9 статьи 105 Закона о контрактной системе к жалобе прикладываются документы, подтверждающие ее обоснованность.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приведенной нормы Закона о контрактной системе следует, что обязанность доказывания нарушения своих прав и законных интересов лежит на подателе жалобы.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Заявитель не обеспечил явку своих представителей на заседание Комиссии и не предоставил объективных доказательств, свидетельствующих о том, что данным условием Заказчик ограничил круг участников Аукциона.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6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Комиссия, выслушав пояснения представителя Заказчика, приходит к выводу о необоснованности данного довода жалобы.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3. Внеплановая проверка процедуры закупки в соответствии с частью 15 статьи 99 Закона о контрактной системе, пунктом 3.30 Административного регламента от 19.11.2014 №727/14, Комиссией не проводится ввиду проведения данной проверки при рассмотрении материалов дела №06/4103-17 по жалобе ООО «АвтоДорСервис» на действия Заказчика при проведении Конкурса.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проверки Комиссия решением от 01.11.2017 по делу №06/4103-17 признала Заказчика нарушившим требования частей 5, 7, 8 статьи 34, пункта 9 части 1 статьи 50, подпункта г) пункта 1 части 2 статьи 51 Закона о контрактной системе, Правила № 1085, пункта 5 Правил от 30.08.2017 № 1042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выдано предписание от 01.11.2017 по делу №06/4103-17 об устранении нарушений законодательства Российской Федерации о контрактной системе в сфере закупок, в части отмены протоколов Конкурса, приведения Конкурсной документации в соответствие с требованиями законодательства Российской Федерации о контрактной системе в сфере закупок и с учетом решения от 01.11.2017 по делу №06/4103-17 и осуществления дальнейшего проведения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8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Решением от 01.11.2017 по делу №06/4103-17 материалы дела №06/4103-17 переданы соответствующему должностному лицу Крымского УФАС России для рассмотрения вопроса о возбуждении дела об административном правонарушении.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29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частью 8 статьи 106 Закона о контрактной системе, Административным регламентом от 19.11.2014 №727/14, Комиссия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37" w:line="260" w:lineRule="exact"/>
        <w:ind w:left="49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7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68" w:line="260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Заявителя обоснованной частично.</w:t>
      </w:r>
    </w:p>
    <w:p>
      <w:pPr>
        <w:pStyle w:val="Style7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6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нарушившим требования пункта 9 части 1 статьи 50 Закона о контрактной системе, Правила от 28.11.2013 №1085.</w:t>
      </w:r>
    </w:p>
    <w:p>
      <w:pPr>
        <w:pStyle w:val="Style7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предписание об устранении нарушений законодательства Российской Федерации о контрактной системе в сфере закупок не выдавать, т.к. по установленным нарушениям выдано предписание по делу №06/4103-17.</w:t>
      </w:r>
      <w:r>
        <w:br w:type="page"/>
      </w:r>
    </w:p>
    <w:p>
      <w:pPr>
        <w:pStyle w:val="Style7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60" w:line="322" w:lineRule="exact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Материалы по делу №06/4113-17 соответствующему должностному лицу Крымского УФАС России для рассмотрения вопроса о возбуждении дела об административном правонарушении не передавать, в виду передачи материалов дела №06/4103-17.</w:t>
      </w:r>
    </w:p>
    <w:p>
      <w:pPr>
        <w:pStyle w:val="Style7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64" w:line="322" w:lineRule="exact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действие уведомления о поступлении жалобы и приостановлении торгов от 27.10.2017 №06/12319.</w:t>
      </w:r>
    </w:p>
    <w:p>
      <w:pPr>
        <w:pStyle w:val="Style7"/>
        <w:framePr w:w="2154" w:h="1934" w:wrap="around" w:vAnchor="text" w:hAnchor="margin" w:x="7754" w:y="970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100" w:right="140" w:firstLine="0"/>
      </w:pPr>
      <w:r>
        <w:rPr>
          <w:rStyle w:val="CharStyle9"/>
          <w:spacing w:val="0"/>
        </w:rPr>
        <w:t>М. С. Муравьёв Н. П. Казакова О. А. Шалимова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339" w:line="317" w:lineRule="exact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0" w:right="3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Заместитель председателя Комиссии: Член Комиссии:</w:t>
      </w:r>
    </w:p>
    <w:sectPr>
      <w:type w:val="continuous"/>
      <w:pgSz w:w="11906" w:h="16838"/>
      <w:pgMar w:top="1386" w:left="824" w:right="752" w:bottom="96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03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7"/>
      <w:numFmt w:val="decimal"/>
      <w:lvlText w:val="01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bullet"/>
      <w:lvlText w:val="-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6">
    <w:name w:val="Основной текст (6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30"/>
    </w:rPr>
  </w:style>
  <w:style w:type="character" w:customStyle="1" w:styleId="CharStyle17">
    <w:name w:val="Основной текст (5) + 9 pt,Не полужирный,Интервал 1 pt"/>
    <w:basedOn w:val="CharStyle14"/>
    <w:rPr>
      <w:lang w:val="ru-RU" w:eastAsia="ru-RU" w:bidi="ru-RU"/>
      <w:b/>
      <w:bCs/>
      <w:sz w:val="18"/>
      <w:szCs w:val="18"/>
      <w:w w:val="100"/>
      <w:spacing w:val="30"/>
      <w:color w:val="000000"/>
      <w:position w:val="0"/>
    </w:rPr>
  </w:style>
  <w:style w:type="character" w:customStyle="1" w:styleId="CharStyle18">
    <w:name w:val="Основной текст (5) + 4,5 pt,Не полужирный"/>
    <w:basedOn w:val="CharStyle14"/>
    <w:rPr>
      <w:lang w:val="ru-RU" w:eastAsia="ru-RU" w:bidi="ru-RU"/>
      <w:b/>
      <w:bCs/>
      <w:sz w:val="9"/>
      <w:szCs w:val="9"/>
      <w:w w:val="100"/>
      <w:spacing w:val="0"/>
      <w:color w:val="000000"/>
      <w:position w:val="0"/>
    </w:rPr>
  </w:style>
  <w:style w:type="character" w:customStyle="1" w:styleId="CharStyle19">
    <w:name w:val="Основной текст (3) + 10 pt,Полужирный"/>
    <w:basedOn w:val="CharStyle6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20">
    <w:name w:val="Основной текст (3) + 4,5 pt,Интервал 1 pt"/>
    <w:basedOn w:val="CharStyle6"/>
    <w:rPr>
      <w:lang w:val="ru-RU" w:eastAsia="ru-RU" w:bidi="ru-RU"/>
      <w:sz w:val="9"/>
      <w:szCs w:val="9"/>
      <w:w w:val="100"/>
      <w:spacing w:val="20"/>
      <w:color w:val="000000"/>
      <w:position w:val="0"/>
    </w:rPr>
  </w:style>
  <w:style w:type="character" w:customStyle="1" w:styleId="CharStyle21">
    <w:name w:val="Основной текст (3) + 10 pt,Полужирный"/>
    <w:basedOn w:val="CharStyle6"/>
    <w:rPr>
      <w:lang w:val="ru-RU" w:eastAsia="ru-RU" w:bidi="ru-RU"/>
      <w:b/>
      <w:bCs/>
      <w:strike/>
      <w:sz w:val="20"/>
      <w:szCs w:val="20"/>
      <w:w w:val="100"/>
      <w:spacing w:val="0"/>
      <w:color w:val="000000"/>
      <w:position w:val="0"/>
    </w:rPr>
  </w:style>
  <w:style w:type="character" w:customStyle="1" w:styleId="CharStyle22">
    <w:name w:val="Основной текст (3)"/>
    <w:basedOn w:val="CharStyle6"/>
    <w:rPr>
      <w:lang w:val="ru-RU" w:eastAsia="ru-RU" w:bidi="ru-RU"/>
      <w:strike/>
      <w:w w:val="100"/>
      <w:spacing w:val="0"/>
      <w:color w:val="000000"/>
      <w:position w:val="0"/>
    </w:rPr>
  </w:style>
  <w:style w:type="character" w:customStyle="1" w:styleId="CharStyle23">
    <w:name w:val="Основной текст (3) + 4,5 pt,Интервал 1 pt"/>
    <w:basedOn w:val="CharStyle6"/>
    <w:rPr>
      <w:lang w:val="en-US" w:eastAsia="en-US" w:bidi="en-US"/>
      <w:strike/>
      <w:sz w:val="9"/>
      <w:szCs w:val="9"/>
      <w:w w:val="100"/>
      <w:spacing w:val="20"/>
      <w:color w:val="000000"/>
      <w:position w:val="0"/>
    </w:rPr>
  </w:style>
  <w:style w:type="character" w:customStyle="1" w:styleId="CharStyle25">
    <w:name w:val="Основной текст (7)_"/>
    <w:basedOn w:val="DefaultParagraphFont"/>
    <w:link w:val="Style2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20"/>
    </w:rPr>
  </w:style>
  <w:style w:type="character" w:customStyle="1" w:styleId="CharStyle26">
    <w:name w:val="Основной текст (7) + 7,5 pt,Интервал 0 pt"/>
    <w:basedOn w:val="CharStyle25"/>
    <w:rPr>
      <w:lang w:val="ru-RU" w:eastAsia="ru-RU" w:bidi="ru-RU"/>
      <w:sz w:val="15"/>
      <w:szCs w:val="15"/>
      <w:w w:val="100"/>
      <w:spacing w:val="0"/>
      <w:color w:val="000000"/>
      <w:position w:val="0"/>
    </w:rPr>
  </w:style>
  <w:style w:type="character" w:customStyle="1" w:styleId="CharStyle28">
    <w:name w:val="Основной текст (8)_"/>
    <w:basedOn w:val="DefaultParagraphFont"/>
    <w:link w:val="Style27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20"/>
    </w:rPr>
  </w:style>
  <w:style w:type="character" w:customStyle="1" w:styleId="CharStyle29">
    <w:name w:val="Основной текст (5) + 7,5 pt,Не полужирный"/>
    <w:basedOn w:val="CharStyle14"/>
    <w:rPr>
      <w:lang w:val="ru-RU" w:eastAsia="ru-RU" w:bidi="ru-RU"/>
      <w:b/>
      <w:bCs/>
      <w:sz w:val="15"/>
      <w:szCs w:val="15"/>
      <w:w w:val="100"/>
      <w:spacing w:val="0"/>
      <w:color w:val="000000"/>
      <w:position w:val="0"/>
    </w:rPr>
  </w:style>
  <w:style w:type="character" w:customStyle="1" w:styleId="CharStyle30">
    <w:name w:val="Основной текст (5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1">
    <w:name w:val="Основной текст (5) + 13 pt,Не полужирный"/>
    <w:basedOn w:val="CharStyle14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character" w:customStyle="1" w:styleId="CharStyle32">
    <w:name w:val="Основной текст (5)"/>
    <w:basedOn w:val="CharStyle14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60" w:line="27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after="300" w:line="18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both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before="420" w:after="6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line="250" w:lineRule="exact"/>
      <w:ind w:hanging="320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30"/>
    </w:rPr>
  </w:style>
  <w:style w:type="paragraph" w:customStyle="1" w:styleId="Style24">
    <w:name w:val="Основной текст (7)"/>
    <w:basedOn w:val="Normal"/>
    <w:link w:val="CharStyle25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20"/>
    </w:rPr>
  </w:style>
  <w:style w:type="paragraph" w:customStyle="1" w:styleId="Style27">
    <w:name w:val="Основной текст (8)"/>
    <w:basedOn w:val="Normal"/>
    <w:link w:val="CharStyle28"/>
    <w:pPr>
      <w:widowControl w:val="0"/>
      <w:shd w:val="clear" w:color="auto" w:fill="FFFFFF"/>
      <w:jc w:val="center"/>
      <w:spacing w:after="12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to82-npkazakova</dc:creator>
  <cp:keywords/>
</cp:coreProperties>
</file>