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5180" w:right="0" w:firstLine="0"/>
      </w:pPr>
      <w:r>
        <w:rPr>
          <w:lang w:val="ru-RU" w:eastAsia="ru-RU" w:bidi="ru-RU"/>
          <w:sz w:val="24"/>
          <w:szCs w:val="24"/>
          <w:w w:val="100"/>
          <w:color w:val="000000"/>
          <w:position w:val="0"/>
        </w:rPr>
        <w:t>Заказчик:</w:t>
      </w:r>
    </w:p>
    <w:p>
      <w:pPr>
        <w:pStyle w:val="Style3"/>
        <w:widowControl w:val="0"/>
        <w:keepNext w:val="0"/>
        <w:keepLines w:val="0"/>
        <w:shd w:val="clear" w:color="auto" w:fill="auto"/>
        <w:bidi w:val="0"/>
        <w:jc w:val="left"/>
        <w:spacing w:before="0" w:after="225" w:line="307" w:lineRule="exact"/>
        <w:ind w:left="5180" w:right="320" w:firstLine="0"/>
      </w:pPr>
      <w:r>
        <w:rPr>
          <w:lang w:val="ru-RU" w:eastAsia="ru-RU" w:bidi="ru-RU"/>
          <w:sz w:val="24"/>
          <w:szCs w:val="24"/>
          <w:w w:val="100"/>
          <w:color w:val="000000"/>
          <w:position w:val="0"/>
        </w:rPr>
        <w:t>Государственное казенное учреждение «Управление строительства Ленинградской области»</w:t>
      </w:r>
    </w:p>
    <w:p>
      <w:pPr>
        <w:pStyle w:val="Style3"/>
        <w:widowControl w:val="0"/>
        <w:keepNext w:val="0"/>
        <w:keepLines w:val="0"/>
        <w:shd w:val="clear" w:color="auto" w:fill="auto"/>
        <w:bidi w:val="0"/>
        <w:jc w:val="left"/>
        <w:spacing w:before="0" w:after="309" w:line="326" w:lineRule="exact"/>
        <w:ind w:left="5180" w:right="320" w:firstLine="0"/>
      </w:pPr>
      <w:r>
        <w:rPr>
          <w:rStyle w:val="CharStyle5"/>
        </w:rPr>
        <w:t xml:space="preserve">ул. </w:t>
      </w:r>
      <w:r>
        <w:rPr>
          <w:rStyle w:val="CharStyle6"/>
        </w:rPr>
        <w:t xml:space="preserve">Некрасова, </w:t>
      </w:r>
      <w:r>
        <w:rPr>
          <w:rStyle w:val="CharStyle5"/>
        </w:rPr>
        <w:t xml:space="preserve">д. 14 </w:t>
      </w:r>
      <w:r>
        <w:rPr>
          <w:rStyle w:val="CharStyle6"/>
        </w:rPr>
        <w:t>г. Санкт-Петербург, 1</w:t>
      </w:r>
      <w:r>
        <w:rPr>
          <w:rStyle w:val="CharStyle5"/>
        </w:rPr>
        <w:t>9</w:t>
      </w:r>
      <w:r>
        <w:rPr>
          <w:rStyle w:val="CharStyle6"/>
        </w:rPr>
        <w:t>11</w:t>
      </w:r>
      <w:r>
        <w:rPr>
          <w:rStyle w:val="CharStyle5"/>
        </w:rPr>
        <w:t xml:space="preserve">04 Тел.:(812) 5798909 </w:t>
      </w:r>
      <w:r>
        <w:rPr>
          <w:lang w:val="en-US" w:eastAsia="en-US" w:bidi="en-US"/>
          <w:sz w:val="24"/>
          <w:szCs w:val="24"/>
          <w:w w:val="100"/>
          <w:color w:val="000000"/>
          <w:position w:val="0"/>
        </w:rPr>
        <w:t xml:space="preserve">e-mail: </w:t>
      </w:r>
      <w:r>
        <w:fldChar w:fldCharType="begin"/>
      </w:r>
      <w:r>
        <w:rPr>
          <w:color w:val="000000"/>
        </w:rPr>
        <w:instrText> HYPERLINK "mailto:guuslo.lenobl@mail.ru" </w:instrText>
      </w:r>
      <w:r>
        <w:fldChar w:fldCharType="separate"/>
      </w:r>
      <w:r>
        <w:rPr>
          <w:rStyle w:val="Hyperlink"/>
          <w:lang w:val="en-US" w:eastAsia="en-US" w:bidi="en-US"/>
          <w:sz w:val="24"/>
          <w:szCs w:val="24"/>
          <w:w w:val="100"/>
          <w:position w:val="0"/>
        </w:rPr>
        <w:t>guuslo.lenobl@mail.ru</w:t>
      </w:r>
      <w:r>
        <w:fldChar w:fldCharType="end"/>
      </w:r>
      <w:r>
        <w:rPr>
          <w:lang w:val="en-US" w:eastAsia="en-US" w:bidi="en-US"/>
          <w:sz w:val="24"/>
          <w:szCs w:val="24"/>
          <w:w w:val="100"/>
          <w:color w:val="000000"/>
          <w:position w:val="0"/>
        </w:rPr>
        <w:t xml:space="preserve">, </w:t>
      </w:r>
      <w:r>
        <w:fldChar w:fldCharType="begin"/>
      </w:r>
      <w:r>
        <w:rPr>
          <w:color w:val="000000"/>
        </w:rPr>
        <w:instrText> HYPERLINK "mailto:uslo47@uandex.ru" </w:instrText>
      </w:r>
      <w:r>
        <w:fldChar w:fldCharType="separate"/>
      </w:r>
      <w:r>
        <w:rPr>
          <w:rStyle w:val="Hyperlink"/>
          <w:lang w:val="en-US" w:eastAsia="en-US" w:bidi="en-US"/>
          <w:sz w:val="24"/>
          <w:szCs w:val="24"/>
          <w:w w:val="100"/>
          <w:position w:val="0"/>
        </w:rPr>
        <w:t>uslo47@uandex.ru</w:t>
      </w:r>
      <w:r>
        <w:fldChar w:fldCharType="end"/>
      </w:r>
    </w:p>
    <w:p>
      <w:pPr>
        <w:pStyle w:val="Style3"/>
        <w:widowControl w:val="0"/>
        <w:keepNext w:val="0"/>
        <w:keepLines w:val="0"/>
        <w:shd w:val="clear" w:color="auto" w:fill="auto"/>
        <w:bidi w:val="0"/>
        <w:jc w:val="left"/>
        <w:spacing w:before="0" w:after="31" w:line="240" w:lineRule="exact"/>
        <w:ind w:left="5180" w:right="0" w:firstLine="0"/>
      </w:pPr>
      <w:r>
        <w:rPr>
          <w:lang w:val="ru-RU" w:eastAsia="ru-RU" w:bidi="ru-RU"/>
          <w:sz w:val="24"/>
          <w:szCs w:val="24"/>
          <w:w w:val="100"/>
          <w:color w:val="000000"/>
          <w:position w:val="0"/>
        </w:rPr>
        <w:t>Уполномоченный орган:</w:t>
      </w:r>
    </w:p>
    <w:p>
      <w:pPr>
        <w:pStyle w:val="Style3"/>
        <w:widowControl w:val="0"/>
        <w:keepNext w:val="0"/>
        <w:keepLines w:val="0"/>
        <w:shd w:val="clear" w:color="auto" w:fill="auto"/>
        <w:bidi w:val="0"/>
        <w:jc w:val="left"/>
        <w:spacing w:before="0" w:after="42" w:line="240" w:lineRule="exact"/>
        <w:ind w:left="5180" w:right="0" w:firstLine="0"/>
      </w:pPr>
      <w:r>
        <w:rPr>
          <w:lang w:val="ru-RU" w:eastAsia="ru-RU" w:bidi="ru-RU"/>
          <w:sz w:val="24"/>
          <w:szCs w:val="24"/>
          <w:w w:val="100"/>
          <w:color w:val="000000"/>
          <w:position w:val="0"/>
        </w:rPr>
        <w:t>Комитет государственного заказа</w:t>
      </w:r>
    </w:p>
    <w:p>
      <w:pPr>
        <w:pStyle w:val="Style7"/>
        <w:widowControl w:val="0"/>
        <w:keepNext/>
        <w:keepLines/>
        <w:shd w:val="clear" w:color="auto" w:fill="auto"/>
        <w:bidi w:val="0"/>
        <w:jc w:val="left"/>
        <w:spacing w:before="0" w:after="92" w:line="460" w:lineRule="exact"/>
        <w:ind w:left="0" w:right="0" w:firstLine="0"/>
      </w:pPr>
      <w:bookmarkStart w:id="0" w:name="bookmark0"/>
      <w:r>
        <w:rPr>
          <w:rStyle w:val="CharStyle9"/>
        </w:rPr>
        <w:t xml:space="preserve">М//-ле&amp; </w:t>
      </w:r>
      <w:r>
        <w:rPr>
          <w:rStyle w:val="CharStyle10"/>
        </w:rPr>
        <w:t>Р/оз/т</w:t>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Ленинг</w:t>
      </w:r>
      <w:r>
        <w:rPr>
          <w:lang w:val="ru-RU" w:eastAsia="ru-RU" w:bidi="ru-RU"/>
          <w:w w:val="100"/>
          <w:spacing w:val="0"/>
          <w:color w:val="000000"/>
          <w:position w:val="0"/>
        </w:rPr>
        <w:t>р</w:t>
      </w:r>
      <w:r>
        <w:rPr>
          <w:lang w:val="ru-RU" w:eastAsia="ru-RU" w:bidi="ru-RU"/>
          <w:vertAlign w:val="superscript"/>
          <w:w w:val="100"/>
          <w:spacing w:val="0"/>
          <w:color w:val="000000"/>
          <w:position w:val="0"/>
        </w:rPr>
        <w:t>адскойоблас</w:t>
      </w:r>
      <w:r>
        <w:rPr>
          <w:lang w:val="ru-RU" w:eastAsia="ru-RU" w:bidi="ru-RU"/>
          <w:w w:val="100"/>
          <w:spacing w:val="0"/>
          <w:color w:val="000000"/>
          <w:position w:val="0"/>
        </w:rPr>
        <w:t>™</w:t>
      </w:r>
      <w:bookmarkEnd w:id="0"/>
    </w:p>
    <w:p>
      <w:pPr>
        <w:pStyle w:val="Style3"/>
        <w:widowControl w:val="0"/>
        <w:keepNext w:val="0"/>
        <w:keepLines w:val="0"/>
        <w:shd w:val="clear" w:color="auto" w:fill="auto"/>
        <w:bidi w:val="0"/>
        <w:jc w:val="left"/>
        <w:spacing w:before="0" w:after="302" w:line="317" w:lineRule="exact"/>
        <w:ind w:left="5180" w:right="320" w:firstLine="0"/>
      </w:pPr>
      <w:r>
        <w:rPr>
          <w:lang w:val="ru-RU" w:eastAsia="ru-RU" w:bidi="ru-RU"/>
          <w:sz w:val="24"/>
          <w:szCs w:val="24"/>
          <w:w w:val="100"/>
          <w:color w:val="000000"/>
          <w:position w:val="0"/>
        </w:rPr>
        <w:t xml:space="preserve">ул. Смольного, д. 3, литера А, г. Санкт-Петербург, 191124 тел.: (812) 4563736, (812) 4563736 </w:t>
      </w:r>
      <w:r>
        <w:rPr>
          <w:lang w:val="en-US" w:eastAsia="en-US" w:bidi="en-US"/>
          <w:sz w:val="24"/>
          <w:szCs w:val="24"/>
          <w:w w:val="10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position w:val="0"/>
        </w:rPr>
        <w:t>konkurs@lenreg.ru</w:t>
      </w:r>
      <w:r>
        <w:fldChar w:fldCharType="end"/>
      </w:r>
    </w:p>
    <w:p>
      <w:pPr>
        <w:pStyle w:val="Style3"/>
        <w:widowControl w:val="0"/>
        <w:keepNext w:val="0"/>
        <w:keepLines w:val="0"/>
        <w:shd w:val="clear" w:color="auto" w:fill="auto"/>
        <w:bidi w:val="0"/>
        <w:jc w:val="left"/>
        <w:spacing w:before="0" w:after="31" w:line="240" w:lineRule="exact"/>
        <w:ind w:left="5180" w:right="0" w:firstLine="0"/>
      </w:pPr>
      <w:r>
        <w:rPr>
          <w:lang w:val="ru-RU" w:eastAsia="ru-RU" w:bidi="ru-RU"/>
          <w:sz w:val="24"/>
          <w:szCs w:val="24"/>
          <w:w w:val="100"/>
          <w:color w:val="000000"/>
          <w:position w:val="0"/>
        </w:rPr>
        <w:t>Заявитель:</w:t>
      </w:r>
    </w:p>
    <w:p>
      <w:pPr>
        <w:pStyle w:val="Style3"/>
        <w:widowControl w:val="0"/>
        <w:keepNext w:val="0"/>
        <w:keepLines w:val="0"/>
        <w:shd w:val="clear" w:color="auto" w:fill="auto"/>
        <w:bidi w:val="0"/>
        <w:jc w:val="left"/>
        <w:spacing w:before="0" w:after="297" w:line="240" w:lineRule="exact"/>
        <w:ind w:left="5180" w:right="0" w:firstLine="0"/>
      </w:pPr>
      <w:r>
        <w:rPr>
          <w:lang w:val="ru-RU" w:eastAsia="ru-RU" w:bidi="ru-RU"/>
          <w:sz w:val="24"/>
          <w:szCs w:val="24"/>
          <w:w w:val="100"/>
          <w:color w:val="000000"/>
          <w:position w:val="0"/>
        </w:rPr>
        <w:t>ООО «Институт «НОВГОРОДПРОЕКТ»</w:t>
      </w:r>
    </w:p>
    <w:p>
      <w:pPr>
        <w:pStyle w:val="Style3"/>
        <w:widowControl w:val="0"/>
        <w:keepNext w:val="0"/>
        <w:keepLines w:val="0"/>
        <w:shd w:val="clear" w:color="auto" w:fill="auto"/>
        <w:bidi w:val="0"/>
        <w:jc w:val="left"/>
        <w:spacing w:before="0" w:after="305" w:line="322" w:lineRule="exact"/>
        <w:ind w:left="5180" w:right="320" w:firstLine="0"/>
      </w:pPr>
      <w:r>
        <w:rPr>
          <w:lang w:val="ru-RU" w:eastAsia="ru-RU" w:bidi="ru-RU"/>
          <w:sz w:val="24"/>
          <w:szCs w:val="24"/>
          <w:w w:val="100"/>
          <w:color w:val="000000"/>
          <w:position w:val="0"/>
        </w:rPr>
        <w:t xml:space="preserve">ул. Прусская, д. 22, г. Великий Новгород, 173015 тел.: (321) 7054612 </w:t>
      </w:r>
      <w:r>
        <w:rPr>
          <w:lang w:val="en-US" w:eastAsia="en-US" w:bidi="en-US"/>
          <w:sz w:val="24"/>
          <w:szCs w:val="24"/>
          <w:w w:val="100"/>
          <w:color w:val="000000"/>
          <w:position w:val="0"/>
        </w:rPr>
        <w:t xml:space="preserve">e-mail: </w:t>
      </w:r>
      <w:r>
        <w:fldChar w:fldCharType="begin"/>
      </w:r>
      <w:r>
        <w:rPr>
          <w:color w:val="000000"/>
        </w:rPr>
        <w:instrText> HYPERLINK "mailto:sga@np53.ru" </w:instrText>
      </w:r>
      <w:r>
        <w:fldChar w:fldCharType="separate"/>
      </w:r>
      <w:r>
        <w:rPr>
          <w:rStyle w:val="Hyperlink"/>
          <w:lang w:val="en-US" w:eastAsia="en-US" w:bidi="en-US"/>
          <w:sz w:val="24"/>
          <w:szCs w:val="24"/>
          <w:w w:val="100"/>
          <w:position w:val="0"/>
        </w:rPr>
        <w:t>sga@np53.ru</w:t>
      </w:r>
      <w:r>
        <w:fldChar w:fldCharType="end"/>
      </w:r>
    </w:p>
    <w:p>
      <w:pPr>
        <w:pStyle w:val="Style3"/>
        <w:widowControl w:val="0"/>
        <w:keepNext w:val="0"/>
        <w:keepLines w:val="0"/>
        <w:shd w:val="clear" w:color="auto" w:fill="auto"/>
        <w:bidi w:val="0"/>
        <w:jc w:val="left"/>
        <w:spacing w:before="0" w:after="311" w:line="240" w:lineRule="exact"/>
        <w:ind w:left="5180" w:right="0" w:firstLine="0"/>
      </w:pPr>
      <w:r>
        <w:rPr>
          <w:lang w:val="ru-RU" w:eastAsia="ru-RU" w:bidi="ru-RU"/>
          <w:sz w:val="24"/>
          <w:szCs w:val="24"/>
          <w:w w:val="100"/>
          <w:color w:val="000000"/>
          <w:position w:val="0"/>
        </w:rPr>
        <w:t>извещение № 0145200000417001793</w:t>
      </w:r>
    </w:p>
    <w:p>
      <w:pPr>
        <w:pStyle w:val="Style3"/>
        <w:widowControl w:val="0"/>
        <w:keepNext w:val="0"/>
        <w:keepLines w:val="0"/>
        <w:shd w:val="clear" w:color="auto" w:fill="auto"/>
        <w:bidi w:val="0"/>
        <w:jc w:val="center"/>
        <w:spacing w:before="0" w:after="302" w:line="317" w:lineRule="exact"/>
        <w:ind w:left="0" w:right="40" w:firstLine="0"/>
      </w:pPr>
      <w:r>
        <w:rPr>
          <w:lang w:val="ru-RU" w:eastAsia="ru-RU" w:bidi="ru-RU"/>
          <w:sz w:val="24"/>
          <w:szCs w:val="24"/>
          <w:w w:val="100"/>
          <w:color w:val="000000"/>
          <w:position w:val="0"/>
        </w:rPr>
        <w:t xml:space="preserve">РЕШЕНИЕ Комиссии Ленинградского УФАС России по контролю в сфере закупок по делу № </w:t>
      </w:r>
      <w:r>
        <w:rPr>
          <w:lang w:val="en-US" w:eastAsia="en-US" w:bidi="en-US"/>
          <w:sz w:val="24"/>
          <w:szCs w:val="24"/>
          <w:w w:val="100"/>
          <w:color w:val="000000"/>
          <w:position w:val="0"/>
        </w:rPr>
        <w:t>1352-03-9989-P3/17</w:t>
      </w:r>
    </w:p>
    <w:p>
      <w:pPr>
        <w:pStyle w:val="Style3"/>
        <w:tabs>
          <w:tab w:leader="none" w:pos="8621" w:val="center"/>
        </w:tabs>
        <w:widowControl w:val="0"/>
        <w:keepNext w:val="0"/>
        <w:keepLines w:val="0"/>
        <w:shd w:val="clear" w:color="auto" w:fill="auto"/>
        <w:bidi w:val="0"/>
        <w:jc w:val="both"/>
        <w:spacing w:before="0" w:after="307" w:line="240" w:lineRule="exact"/>
        <w:ind w:left="360" w:right="0" w:firstLine="0"/>
      </w:pPr>
      <w:r>
        <w:rPr>
          <w:lang w:val="ru-RU" w:eastAsia="ru-RU" w:bidi="ru-RU"/>
          <w:sz w:val="24"/>
          <w:szCs w:val="24"/>
          <w:w w:val="100"/>
          <w:color w:val="000000"/>
          <w:position w:val="0"/>
        </w:rPr>
        <w:t>03 ноября 2017 года</w:t>
        <w:tab/>
        <w:t>Санкт-Петербург</w:t>
      </w:r>
    </w:p>
    <w:p>
      <w:pPr>
        <w:pStyle w:val="Style3"/>
        <w:widowControl w:val="0"/>
        <w:keepNext w:val="0"/>
        <w:keepLines w:val="0"/>
        <w:shd w:val="clear" w:color="auto" w:fill="auto"/>
        <w:bidi w:val="0"/>
        <w:jc w:val="left"/>
        <w:spacing w:before="0" w:after="0" w:line="322" w:lineRule="exact"/>
        <w:ind w:left="360" w:right="320" w:firstLine="70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0" w:line="322" w:lineRule="exact"/>
        <w:ind w:left="360" w:right="320" w:firstLine="700"/>
      </w:pPr>
      <w:r>
        <w:rPr>
          <w:lang w:val="ru-RU" w:eastAsia="ru-RU" w:bidi="ru-RU"/>
          <w:sz w:val="24"/>
          <w:szCs w:val="24"/>
          <w:w w:val="100"/>
          <w:color w:val="000000"/>
          <w:position w:val="0"/>
        </w:rPr>
        <w:t>Журавлева Алексея Александровича - заместителя руководителя, председателя Комиссии,</w:t>
      </w:r>
    </w:p>
    <w:p>
      <w:pPr>
        <w:pStyle w:val="Style3"/>
        <w:widowControl w:val="0"/>
        <w:keepNext w:val="0"/>
        <w:keepLines w:val="0"/>
        <w:shd w:val="clear" w:color="auto" w:fill="auto"/>
        <w:bidi w:val="0"/>
        <w:jc w:val="left"/>
        <w:spacing w:before="0" w:after="0" w:line="322" w:lineRule="exact"/>
        <w:ind w:left="360" w:right="320" w:firstLine="700"/>
      </w:pPr>
      <w:r>
        <w:rPr>
          <w:lang w:val="ru-RU" w:eastAsia="ru-RU" w:bidi="ru-RU"/>
          <w:sz w:val="24"/>
          <w:szCs w:val="24"/>
          <w:w w:val="100"/>
          <w:color w:val="000000"/>
          <w:position w:val="0"/>
        </w:rPr>
        <w:t>Хрущ Виктории Дановны - врио начальника отдела контроля закупок, члена Комиссии,</w:t>
      </w:r>
    </w:p>
    <w:p>
      <w:pPr>
        <w:pStyle w:val="Style3"/>
        <w:widowControl w:val="0"/>
        <w:keepNext w:val="0"/>
        <w:keepLines w:val="0"/>
        <w:shd w:val="clear" w:color="auto" w:fill="auto"/>
        <w:bidi w:val="0"/>
        <w:jc w:val="left"/>
        <w:spacing w:before="0" w:after="0" w:line="302" w:lineRule="exact"/>
        <w:ind w:left="360" w:right="320" w:firstLine="700"/>
      </w:pPr>
      <w:r>
        <w:rPr>
          <w:lang w:val="ru-RU" w:eastAsia="ru-RU" w:bidi="ru-RU"/>
          <w:sz w:val="24"/>
          <w:szCs w:val="24"/>
          <w:w w:val="100"/>
          <w:color w:val="000000"/>
          <w:position w:val="0"/>
        </w:rPr>
        <w:t>Пашедко Анны Дмитриевны - главного специалиста-эксперта отдела контроля закупок, члена Комиссии,</w:t>
      </w:r>
    </w:p>
    <w:p>
      <w:pPr>
        <w:pStyle w:val="Style3"/>
        <w:widowControl w:val="0"/>
        <w:keepNext w:val="0"/>
        <w:keepLines w:val="0"/>
        <w:shd w:val="clear" w:color="auto" w:fill="auto"/>
        <w:bidi w:val="0"/>
        <w:jc w:val="left"/>
        <w:spacing w:before="0" w:after="402" w:line="240" w:lineRule="exact"/>
        <w:ind w:left="360" w:right="0" w:firstLine="700"/>
      </w:pPr>
      <w:r>
        <w:rPr>
          <w:lang w:val="ru-RU" w:eastAsia="ru-RU" w:bidi="ru-RU"/>
          <w:sz w:val="24"/>
          <w:szCs w:val="24"/>
          <w:w w:val="100"/>
          <w:color w:val="000000"/>
          <w:position w:val="0"/>
        </w:rPr>
        <w:t>с участием в заседании представителей по доверенностям:</w:t>
      </w:r>
    </w:p>
    <w:p>
      <w:pPr>
        <w:pStyle w:val="Style11"/>
        <w:widowControl w:val="0"/>
        <w:keepNext/>
        <w:keepLines/>
        <w:shd w:val="clear" w:color="auto" w:fill="auto"/>
        <w:bidi w:val="0"/>
        <w:spacing w:before="0" w:after="0" w:line="280" w:lineRule="exact"/>
        <w:ind w:left="0" w:right="480" w:firstLine="0"/>
      </w:pPr>
      <w:bookmarkStart w:id="1" w:name="bookmark1"/>
      <w:r>
        <w:rPr>
          <w:lang w:val="ru-RU" w:eastAsia="ru-RU" w:bidi="ru-RU"/>
          <w:w w:val="100"/>
          <w:spacing w:val="0"/>
          <w:color w:val="000000"/>
          <w:position w:val="0"/>
        </w:rPr>
        <w:t xml:space="preserve">О 7 </w:t>
      </w:r>
      <w:r>
        <w:rPr>
          <w:lang w:val="en-US" w:eastAsia="en-US" w:bidi="en-US"/>
          <w:w w:val="100"/>
          <w:spacing w:val="0"/>
          <w:color w:val="000000"/>
          <w:position w:val="0"/>
        </w:rPr>
        <w:t xml:space="preserve">S </w:t>
      </w:r>
      <w:r>
        <w:rPr>
          <w:lang w:val="ru-RU" w:eastAsia="ru-RU" w:bidi="ru-RU"/>
          <w:w w:val="100"/>
          <w:spacing w:val="0"/>
          <w:color w:val="000000"/>
          <w:position w:val="0"/>
        </w:rPr>
        <w:t>8 9 2</w:t>
      </w:r>
      <w:bookmarkEnd w:id="1"/>
    </w:p>
    <w:p>
      <w:pPr>
        <w:pStyle w:val="Style13"/>
        <w:widowControl w:val="0"/>
        <w:keepNext/>
        <w:keepLines/>
        <w:shd w:val="clear" w:color="auto" w:fill="auto"/>
        <w:bidi w:val="0"/>
        <w:spacing w:before="0" w:after="0"/>
        <w:ind w:left="20" w:right="20"/>
      </w:pPr>
      <w:bookmarkStart w:id="2" w:name="bookmark2"/>
      <w:r>
        <w:rPr>
          <w:lang w:val="ru-RU" w:eastAsia="ru-RU" w:bidi="ru-RU"/>
          <w:sz w:val="24"/>
          <w:szCs w:val="24"/>
          <w:w w:val="100"/>
          <w:spacing w:val="0"/>
          <w:color w:val="000000"/>
          <w:position w:val="0"/>
        </w:rPr>
        <w:t xml:space="preserve">Государственного казенного учреждения «Управление строительства Ленинградской области» (далее - Заказчик): Супрунчука Даниила Сергеевича, </w:t>
      </w:r>
      <w:r>
        <w:rPr>
          <w:rStyle w:val="CharStyle15"/>
        </w:rPr>
        <w:t>Меньшова Владимира Анатольевича,</w:t>
      </w:r>
      <w:bookmarkEnd w:id="2"/>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Комитета государственного заказа Ленинградской области (далее - Уполномоченный орган): Гуляевой Людмилы Гарифулловны,</w:t>
      </w:r>
    </w:p>
    <w:p>
      <w:pPr>
        <w:pStyle w:val="Style3"/>
        <w:tabs>
          <w:tab w:leader="none" w:pos="6768" w:val="left"/>
        </w:tabs>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ООО «Центр Деловой Сертификации»:</w:t>
        <w:tab/>
        <w:t>Овчинникова Семена</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color w:val="000000"/>
          <w:position w:val="0"/>
        </w:rPr>
        <w:t>Александровича,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отсутствие представителей ООО «Институт «НОВГОРОДПРОЕКТ» (далее - Заявитель, Общество), уведомленных о времени и месте рассмотрения жалобы надлежащим образом,</w:t>
      </w:r>
    </w:p>
    <w:p>
      <w:pPr>
        <w:pStyle w:val="Style3"/>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311" w:line="240" w:lineRule="exact"/>
        <w:ind w:left="0" w:right="0" w:firstLine="0"/>
      </w:pPr>
      <w:r>
        <w:rPr>
          <w:lang w:val="ru-RU" w:eastAsia="ru-RU" w:bidi="ru-RU"/>
          <w:sz w:val="24"/>
          <w:szCs w:val="24"/>
          <w:w w:val="10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Ленинградское УФАС России поступила жалоба Заявителя (вх. № 9989 от 27.10.2017) на действия заказчика, уполномоченного органа при проведении конкурса с ограниченным участием на право заключения контракта на проектирование работ по сохранению объекта культурного наследия с приспособлением под современное использование (учебный корпус № 4 МБОУ «Гимназия») - здания по адресу: Ленинградская область, г. Выборг, ул. Выборгская, д.25 (далее - конкурс).</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Извещение о проведении открытого конкурса, конкурсная документация размещены Уполномоченным органом 23.10.2017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9 042 000,00 рублей.</w:t>
      </w:r>
    </w:p>
    <w:p>
      <w:pPr>
        <w:pStyle w:val="Style3"/>
        <w:widowControl w:val="0"/>
        <w:keepNext w:val="0"/>
        <w:keepLines w:val="0"/>
        <w:shd w:val="clear" w:color="auto" w:fill="auto"/>
        <w:bidi w:val="0"/>
        <w:jc w:val="left"/>
        <w:spacing w:before="0" w:after="0" w:line="317" w:lineRule="exact"/>
        <w:ind w:left="20" w:right="20" w:firstLine="700"/>
      </w:pPr>
      <w:r>
        <w:rPr>
          <w:lang w:val="ru-RU" w:eastAsia="ru-RU" w:bidi="ru-RU"/>
          <w:sz w:val="24"/>
          <w:szCs w:val="24"/>
          <w:w w:val="100"/>
          <w:color w:val="000000"/>
          <w:position w:val="0"/>
        </w:rPr>
        <w:t>Источник финансирования - Областной бюджет Ленинградской области. Из доводов жалобы Общества следует, что конкурсная документация составлена с нарушениями законодательства в части требований по</w:t>
      </w:r>
    </w:p>
    <w:p>
      <w:pPr>
        <w:pStyle w:val="Style3"/>
        <w:widowControl w:val="0"/>
        <w:keepNext w:val="0"/>
        <w:keepLines w:val="0"/>
        <w:shd w:val="clear" w:color="auto" w:fill="auto"/>
        <w:bidi w:val="0"/>
        <w:jc w:val="right"/>
        <w:spacing w:before="0" w:after="8" w:line="240" w:lineRule="exact"/>
        <w:ind w:left="0" w:right="20" w:firstLine="0"/>
      </w:pPr>
      <w:r>
        <w:rPr>
          <w:lang w:val="ru-RU" w:eastAsia="ru-RU" w:bidi="ru-RU"/>
          <w:sz w:val="24"/>
          <w:szCs w:val="24"/>
          <w:w w:val="100"/>
          <w:color w:val="000000"/>
          <w:position w:val="0"/>
        </w:rPr>
        <w:t>подтверждению нестоимостного критерия оценки «Деловая репутация». Более</w:t>
      </w:r>
    </w:p>
    <w:p>
      <w:pPr>
        <w:pStyle w:val="Style16"/>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 xml:space="preserve">подробно позиция Заявителя изложена в жалобе, файл с которой размещен на </w:t>
      </w:r>
      <w:r>
        <w:rPr>
          <w:rStyle w:val="CharStyle18"/>
        </w:rPr>
        <w:t>официальном сайте.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Представители Заказчика, Уполномоченного органа возражали против доводов жалобы, просили признать ее необоснованной. Заказчик также представил письменные возражения по доводам жалобы.</w:t>
      </w:r>
    </w:p>
    <w:p>
      <w:pPr>
        <w:pStyle w:val="Style3"/>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right"/>
        <w:spacing w:before="0" w:after="0" w:line="317" w:lineRule="exact"/>
        <w:ind w:left="20" w:right="20" w:firstLine="0"/>
      </w:pPr>
      <w:r>
        <w:rPr>
          <w:lang w:val="ru-RU" w:eastAsia="ru-RU" w:bidi="ru-RU"/>
          <w:sz w:val="24"/>
          <w:szCs w:val="24"/>
          <w:w w:val="100"/>
          <w:color w:val="000000"/>
          <w:position w:val="0"/>
        </w:rPr>
        <w:t>Рассмотрев представленные документы, заслушав доводы представителей Заказчика, Уполномоченного органа, Комиссия пришла к следующим выводам.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 статьи 1 Закона о контрактной системе (часть 1 статьи 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частью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Частью 2 рассматриваемой статьи определено,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части 1 статьи 56 Закона о контрактной системе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Частью 3 статьи 56 Закона о контрактной системе определено, что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силу пункта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пунктом 4 Правил для оценки заявок (предложений) заказчик устанавливает в документации о закупке следующие критерии оценки:</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а) стоимостные критерии оценки, в том числе цена контракта;</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б) нестоимостные критерии оценки:</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 качественные, функциональные и экологические характеристики объекта закупки;</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Пунктом 10 Правил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Кроме того, пунктом 11 правил установлено, что для оценки заявок (предложений) по каждому критерию оценки используется 100-бальная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определения. В случае осуществления закупки, по результатам которой заключается контракт, предусматривающий выполнение строительных работ, заказчик обязан установить показатель «опыт участника по успешной поставке товара, выполнению работ, оказанию услуг сопоставимого характера и объема» критерия «квалификация участника закупки», за исключением случая, предусмотренного пунктом 30 Правил. При этом значимость показателя должна составлять не менее 50 процентов значимости всех нестоимостных критериев оценки.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пунктом 29 Правил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Иными словами, при представлении определенных сведений участникам закупки и конкурсной комиссии должно быть четко понятно, за какие сведения и какие баллы ими будут присвоены по установленным показателям.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пункту 3 Правил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Учитывая вышеприведенное, порядок оценки, в целях выявления лучшего условия исполнения контракта, документация о закупке должен включать в себя:</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 закупки в своих заявках для получения оценки по нестоимостным критериям;</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 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(показателям критерия;</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 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(показателям критерия), учитывая, что в отношении сведений, представляемых по указанному критерию возможна количественная оценка;</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 инструкцию по заполнению заявки, позволяющую определить какие именно сведения подлежат описанию и предоставлению участниками закупки для оценки конкурсной комиссией.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пункту 14.7 Раздела II конкурной документации при оценке заявок применяются следующие критерии:</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Цена контракта. Значимость критерия - 40%;</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 по показателю: Деловая репутация участника закупки. Значимость критерия - 60%.</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Пунктом 14.10. определен порядок оценки заявок по нестоимостным критериям оценки.</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 xml:space="preserve">Оценка заявок (предложений)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w:t>
      </w:r>
      <w:r>
        <w:rPr>
          <w:rStyle w:val="CharStyle19"/>
        </w:rPr>
        <w:t>квалификации» (далее - «квалификация участника закупки»).</w:t>
      </w:r>
    </w:p>
    <w:p>
      <w:pPr>
        <w:pStyle w:val="Style3"/>
        <w:widowControl w:val="0"/>
        <w:keepNext w:val="0"/>
        <w:keepLines w:val="0"/>
        <w:shd w:val="clear" w:color="auto" w:fill="auto"/>
        <w:bidi w:val="0"/>
        <w:jc w:val="both"/>
        <w:spacing w:before="0" w:after="22" w:line="240" w:lineRule="exact"/>
        <w:ind w:left="20" w:right="0" w:firstLine="700"/>
      </w:pPr>
      <w:r>
        <w:rPr>
          <w:lang w:val="ru-RU" w:eastAsia="ru-RU" w:bidi="ru-RU"/>
          <w:sz w:val="24"/>
          <w:szCs w:val="24"/>
          <w:w w:val="100"/>
          <w:color w:val="000000"/>
          <w:position w:val="0"/>
        </w:rPr>
        <w:t>Значимость критерия: 60%</w:t>
      </w:r>
    </w:p>
    <w:p>
      <w:pPr>
        <w:pStyle w:val="Style3"/>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color w:val="000000"/>
          <w:position w:val="0"/>
        </w:rPr>
        <w:t>Коэффициент значимости критерия оценки - 0,6.</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качестве показателя нестоимостного критерия оценки «квалификация участника закупки» установлен показатель: «Деловая репутация участника закупки».</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Значимость показателя — 100%.</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Деловая репутация участника закупки определяется индексом деловой репутации в соответствии с требованиями ГОСТ Р 66.0.01-2015 «Оценка опыта и деловой репутации субъектов предпринимательской деятельности. Национальная система стандартов. Общие положения, требования и руководящие принципы» и требованиями Стандарта организации Ассоциации аккредитованных лиц в области оценки соответствия Северо-западного Федерального округа СТО </w:t>
      </w:r>
      <w:r>
        <w:rPr>
          <w:lang w:val="en-US" w:eastAsia="en-US" w:bidi="en-US"/>
          <w:sz w:val="24"/>
          <w:szCs w:val="24"/>
          <w:w w:val="100"/>
          <w:color w:val="000000"/>
          <w:position w:val="0"/>
        </w:rPr>
        <w:t xml:space="preserve">AAJIC3 </w:t>
      </w:r>
      <w:r>
        <w:rPr>
          <w:lang w:val="ru-RU" w:eastAsia="ru-RU" w:bidi="ru-RU"/>
          <w:sz w:val="24"/>
          <w:szCs w:val="24"/>
          <w:w w:val="100"/>
          <w:color w:val="000000"/>
          <w:position w:val="0"/>
        </w:rPr>
        <w:t>66.1.05/С-2017 «Оценка опыта и деловой репутации лиц, осуществляющих архитектурно-строительное проектирование социально значимых объектов» (далее - СТО).</w:t>
      </w:r>
    </w:p>
    <w:p>
      <w:pPr>
        <w:pStyle w:val="Style3"/>
        <w:widowControl w:val="0"/>
        <w:keepNext w:val="0"/>
        <w:keepLines w:val="0"/>
        <w:shd w:val="clear" w:color="auto" w:fill="auto"/>
        <w:bidi w:val="0"/>
        <w:jc w:val="both"/>
        <w:spacing w:before="0" w:after="176" w:line="322" w:lineRule="exact"/>
        <w:ind w:left="20" w:right="20" w:firstLine="700"/>
      </w:pPr>
      <w:r>
        <w:rPr>
          <w:lang w:val="ru-RU" w:eastAsia="ru-RU" w:bidi="ru-RU"/>
          <w:sz w:val="24"/>
          <w:szCs w:val="24"/>
          <w:w w:val="100"/>
          <w:color w:val="000000"/>
          <w:position w:val="0"/>
        </w:rPr>
        <w:t>При оценке заявки участника закупки по показателю учитывается значение индекса деловой репутации, указанное в сертификате соответствия и оценивается в соответствии со шкалой:</w:t>
      </w:r>
    </w:p>
    <w:tbl>
      <w:tblPr>
        <w:tblOverlap w:val="never"/>
        <w:tblLayout w:type="fixed"/>
        <w:jc w:val="center"/>
      </w:tblPr>
      <w:tblGrid>
        <w:gridCol w:w="4387"/>
        <w:gridCol w:w="5261"/>
      </w:tblGrid>
      <w:tr>
        <w:trPr>
          <w:trHeight w:val="662" w:hRule="exact"/>
        </w:trPr>
        <w:tc>
          <w:tcPr>
            <w:shd w:val="clear" w:color="auto" w:fill="FFFFFF"/>
            <w:tcBorders>
              <w:lef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20"/>
              </w:rPr>
              <w:t>Значение индекса деловой репутации</w:t>
            </w:r>
          </w:p>
        </w:tc>
        <w:tc>
          <w:tcPr>
            <w:shd w:val="clear" w:color="auto" w:fill="FFFFFF"/>
            <w:tcBorders>
              <w:left w:val="single" w:sz="4"/>
              <w:righ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20"/>
              </w:rPr>
              <w:t>Количество баллов по показателю деловая репутация участника закупки</w:t>
            </w:r>
          </w:p>
        </w:tc>
      </w:tr>
      <w:tr>
        <w:trPr>
          <w:trHeight w:val="346" w:hRule="exact"/>
        </w:trPr>
        <w:tc>
          <w:tcPr>
            <w:shd w:val="clear" w:color="auto" w:fill="FFFFFF"/>
            <w:tcBorders>
              <w:left w:val="single" w:sz="4"/>
              <w:top w:val="single" w:sz="4"/>
            </w:tcBorders>
            <w:vAlign w:val="center"/>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от 80 и выше</w:t>
            </w:r>
          </w:p>
        </w:tc>
        <w:tc>
          <w:tcPr>
            <w:shd w:val="clear" w:color="auto" w:fill="FFFFFF"/>
            <w:tcBorders>
              <w:left w:val="single" w:sz="4"/>
              <w:righ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100</w:t>
            </w:r>
          </w:p>
        </w:tc>
      </w:tr>
      <w:tr>
        <w:trPr>
          <w:trHeight w:val="341" w:hRule="exact"/>
        </w:trPr>
        <w:tc>
          <w:tcPr>
            <w:shd w:val="clear" w:color="auto" w:fill="FFFFFF"/>
            <w:tcBorders>
              <w:lef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от 70 менее 80</w:t>
            </w:r>
          </w:p>
        </w:tc>
        <w:tc>
          <w:tcPr>
            <w:shd w:val="clear" w:color="auto" w:fill="FFFFFF"/>
            <w:tcBorders>
              <w:left w:val="single" w:sz="4"/>
              <w:righ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50</w:t>
            </w:r>
          </w:p>
        </w:tc>
      </w:tr>
      <w:tr>
        <w:trPr>
          <w:trHeight w:val="341" w:hRule="exact"/>
        </w:trPr>
        <w:tc>
          <w:tcPr>
            <w:shd w:val="clear" w:color="auto" w:fill="FFFFFF"/>
            <w:tcBorders>
              <w:lef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от 60 менее 70</w:t>
            </w:r>
          </w:p>
        </w:tc>
        <w:tc>
          <w:tcPr>
            <w:shd w:val="clear" w:color="auto" w:fill="FFFFFF"/>
            <w:tcBorders>
              <w:left w:val="single" w:sz="4"/>
              <w:righ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25</w:t>
            </w:r>
          </w:p>
        </w:tc>
      </w:tr>
      <w:tr>
        <w:trPr>
          <w:trHeight w:val="336" w:hRule="exact"/>
        </w:trPr>
        <w:tc>
          <w:tcPr>
            <w:shd w:val="clear" w:color="auto" w:fill="FFFFFF"/>
            <w:tcBorders>
              <w:lef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от 50 менее 60</w:t>
            </w:r>
          </w:p>
        </w:tc>
        <w:tc>
          <w:tcPr>
            <w:shd w:val="clear" w:color="auto" w:fill="FFFFFF"/>
            <w:tcBorders>
              <w:left w:val="single" w:sz="4"/>
              <w:righ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12,5</w:t>
            </w:r>
          </w:p>
        </w:tc>
      </w:tr>
      <w:tr>
        <w:trPr>
          <w:trHeight w:val="658" w:hRule="exact"/>
        </w:trPr>
        <w:tc>
          <w:tcPr>
            <w:shd w:val="clear" w:color="auto" w:fill="FFFFFF"/>
            <w:tcBorders>
              <w:left w:val="single" w:sz="4"/>
              <w:top w:val="single" w:sz="4"/>
              <w:bottom w:val="single" w:sz="4"/>
            </w:tcBorders>
            <w:vAlign w:val="bottom"/>
          </w:tcPr>
          <w:p>
            <w:pPr>
              <w:pStyle w:val="Style3"/>
              <w:framePr w:w="9648"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20"/>
              </w:rPr>
              <w:t>Ниже 50 (либо отсутствие сертификата)</w:t>
            </w:r>
          </w:p>
        </w:tc>
        <w:tc>
          <w:tcPr>
            <w:shd w:val="clear" w:color="auto" w:fill="FFFFFF"/>
            <w:tcBorders>
              <w:left w:val="single" w:sz="4"/>
              <w:right w:val="single" w:sz="4"/>
              <w:top w:val="single" w:sz="4"/>
              <w:bottom w:val="single" w:sz="4"/>
            </w:tcBorders>
            <w:vAlign w:val="center"/>
          </w:tcPr>
          <w:p>
            <w:pPr>
              <w:pStyle w:val="Style3"/>
              <w:framePr w:w="964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0"/>
              </w:rPr>
              <w:t>0</w:t>
            </w:r>
          </w:p>
        </w:tc>
      </w:tr>
    </w:tbl>
    <w:p>
      <w:pPr>
        <w:widowControl w:val="0"/>
        <w:rPr>
          <w:sz w:val="2"/>
          <w:szCs w:val="2"/>
        </w:rPr>
      </w:pPr>
    </w:p>
    <w:p>
      <w:pPr>
        <w:pStyle w:val="Style3"/>
        <w:widowControl w:val="0"/>
        <w:keepNext w:val="0"/>
        <w:keepLines w:val="0"/>
        <w:shd w:val="clear" w:color="auto" w:fill="auto"/>
        <w:bidi w:val="0"/>
        <w:jc w:val="both"/>
        <w:spacing w:before="165" w:after="0" w:line="322" w:lineRule="exact"/>
        <w:ind w:left="20" w:right="20" w:firstLine="700"/>
      </w:pPr>
      <w:r>
        <w:rPr>
          <w:lang w:val="ru-RU" w:eastAsia="ru-RU" w:bidi="ru-RU"/>
          <w:sz w:val="24"/>
          <w:szCs w:val="24"/>
          <w:w w:val="100"/>
          <w:color w:val="000000"/>
          <w:position w:val="0"/>
        </w:rPr>
        <w:t>Индекс деловой репутации участника закупки подтверждается предоставлением копии сертификата со всеми приложениями, выданного в соответствии с требованиями ГОСТ Р 66.0.01-2015 и требованиями СТО. Индекс деловой репутации должен быть актуальным на дату подачи заявки на участие в конкурсе.</w:t>
      </w:r>
    </w:p>
    <w:p>
      <w:pPr>
        <w:pStyle w:val="Style3"/>
        <w:tabs>
          <w:tab w:leader="none" w:pos="3183" w:val="right"/>
          <w:tab w:leader="none" w:pos="4201" w:val="left"/>
          <w:tab w:leader="none" w:pos="5977" w:val="right"/>
          <w:tab w:leader="none" w:pos="7508" w:val="right"/>
          <w:tab w:leader="none" w:pos="9644" w:val="righ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Сертификат соответствия должен быть выдан лицом, допущенным в систему добровольной сертификации, зарегистрированную в едином реестре зарегистрированных систем добровольной сертификации в соответствии с законодательством Российской Федерации о техническом регулировании (Федеральный закон от 27.12.2002 </w:t>
      </w:r>
      <w:r>
        <w:rPr>
          <w:lang w:val="en-US" w:eastAsia="en-US" w:bidi="en-US"/>
          <w:sz w:val="24"/>
          <w:szCs w:val="24"/>
          <w:w w:val="100"/>
          <w:color w:val="000000"/>
          <w:position w:val="0"/>
        </w:rPr>
        <w:t xml:space="preserve">N </w:t>
      </w:r>
      <w:r>
        <w:rPr>
          <w:lang w:val="ru-RU" w:eastAsia="ru-RU" w:bidi="ru-RU"/>
          <w:sz w:val="24"/>
          <w:szCs w:val="24"/>
          <w:w w:val="100"/>
          <w:color w:val="000000"/>
          <w:position w:val="0"/>
        </w:rPr>
        <w:t>184-ФЗ «О техническом регулировании»). Сведения о системе добровольной сертификации должны содержаться в едином реестре зарегистрированных систем добровольной сертификации, расположенном</w:t>
        <w:tab/>
        <w:t>на</w:t>
        <w:tab/>
        <w:t>сайте</w:t>
        <w:tab/>
        <w:t>в</w:t>
        <w:tab/>
        <w:t>сети</w:t>
        <w:tab/>
        <w:t xml:space="preserve">Интернет </w:t>
      </w:r>
      <w:r>
        <w:rPr>
          <w:lang w:val="en-US" w:eastAsia="en-US" w:bidi="en-US"/>
          <w:sz w:val="24"/>
          <w:szCs w:val="24"/>
          <w:w w:val="100"/>
          <w:color w:val="000000"/>
          <w:position w:val="0"/>
        </w:rPr>
        <w:t>(</w:t>
      </w:r>
      <w:r>
        <w:fldChar w:fldCharType="begin"/>
      </w:r>
      <w:r>
        <w:rPr>
          <w:color w:val="000000"/>
        </w:rPr>
        <w:instrText> HYPERLINK "http://www.gost.ru/wps/portal/pages/directions/confirmation/voluntaryvalidation" </w:instrText>
      </w:r>
      <w:r>
        <w:fldChar w:fldCharType="separate"/>
      </w:r>
      <w:r>
        <w:rPr>
          <w:rStyle w:val="Hyperlink"/>
          <w:lang w:val="en-US" w:eastAsia="en-US" w:bidi="en-US"/>
          <w:sz w:val="24"/>
          <w:szCs w:val="24"/>
          <w:w w:val="100"/>
          <w:position w:val="0"/>
        </w:rPr>
        <w:t>http://www.gost.ru/wps/portal/pages/directions/confirmation/voluntaryvalidation</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 xml:space="preserve">Лицо, допущенное в систему добровольной сертификации, должно иметь свидетельство о допуске к проведению работ по подтверждению соответствия в установленном СТО порядке, о чем должна содержаться запись в реестре лиц, допущенных к проведению работ по подтверждению соответствия, расположенном на сайте в сети Интернет </w:t>
      </w:r>
      <w:r>
        <w:rPr>
          <w:lang w:val="en-US" w:eastAsia="en-US" w:bidi="en-US"/>
          <w:sz w:val="24"/>
          <w:szCs w:val="24"/>
          <w:w w:val="100"/>
          <w:color w:val="000000"/>
          <w:position w:val="0"/>
        </w:rPr>
        <w:t>(</w:t>
      </w:r>
      <w:r>
        <w:fldChar w:fldCharType="begin"/>
      </w:r>
      <w:r>
        <w:rPr>
          <w:color w:val="000000"/>
        </w:rPr>
        <w:instrText> HYPERLINK "http://souzal.ru/standarti/" </w:instrText>
      </w:r>
      <w:r>
        <w:fldChar w:fldCharType="separate"/>
      </w:r>
      <w:r>
        <w:rPr>
          <w:rStyle w:val="Hyperlink"/>
          <w:lang w:val="en-US" w:eastAsia="en-US" w:bidi="en-US"/>
          <w:sz w:val="24"/>
          <w:szCs w:val="24"/>
          <w:w w:val="100"/>
          <w:position w:val="0"/>
        </w:rPr>
        <w:t>http://souzal.ru/standarti/</w:t>
      </w:r>
      <w:r>
        <w:fldChar w:fldCharType="end"/>
      </w:r>
      <w:r>
        <w:rPr>
          <w:lang w:val="en-US" w:eastAsia="en-US" w:bidi="en-US"/>
          <w:sz w:val="24"/>
          <w:szCs w:val="24"/>
          <w:w w:val="100"/>
          <w:color w:val="000000"/>
          <w:position w:val="0"/>
        </w:rPr>
        <w:t>).</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Сертификат должен быть выдан в результате оценки деловой репутации участника закупки по следующему виду работ в соответствии с Общероссийским классификатором видов экономической деятельности ОК 029-2014 (КДЕС ред.2):</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71.11.1 - «Деятельность в области архитектуры, связанная с созданием архитектурного объекта».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При отсутствии у участника закупки деловой репутации, выраженной индексом деловой репутации организации, рассчитанным по требованиям ГОСТ Р 66.0.01-2015 и требованиями СТО, заявке участника закупки по данному показателю присваивается 0 баллов.</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случае несоответствия, разночтения сведений в представленных документах при определении количества баллов по данному показателю, такие сведения не учитываются.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Отсутствие документов, подтверждающих квалификацию участников закупки, не является основанием для отклонения заявки участника.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Для получения рейтинга заявки по данному показателю количество баллов, присуждаемых </w:t>
      </w:r>
      <w:r>
        <w:rPr>
          <w:lang w:val="en-US" w:eastAsia="en-US" w:bidi="en-US"/>
          <w:sz w:val="24"/>
          <w:szCs w:val="24"/>
          <w:w w:val="100"/>
          <w:color w:val="000000"/>
          <w:position w:val="0"/>
        </w:rPr>
        <w:t>i</w:t>
      </w:r>
      <w:r>
        <w:rPr>
          <w:lang w:val="ru-RU" w:eastAsia="ru-RU" w:bidi="ru-RU"/>
          <w:sz w:val="24"/>
          <w:szCs w:val="24"/>
          <w:w w:val="100"/>
          <w:color w:val="000000"/>
          <w:position w:val="0"/>
        </w:rPr>
        <w:t>-й заявке по указанному показателю, умножается на коэффициент значимости.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На основании результатов оценки и сопоставления заявок (предложений) конкурсной комиссией каждой заявке (предложению) относительно других по мере уменьшения степени выгодности содержащихся в них условий исполнения контракта присваивается порядковый номер. Заявке (предложению), в которой содержатся лучшие условия исполнения контракта, выраженные в баллах, присваивается первый номер. В случае, если в нескольких заявках (предложениях) на участие в закупке содержатся одинаковые условия исполнения контракта, меньший порядковый номер присваивается заявке (предложению), которая поступила ранее других, содержащих такие условия.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Победителем закупки признается участник закупки, который предложил лучшие условия исполнения контракта на основе критериев, указанных в конкурсной документации, и заявке (предложению) на участие в закупке, которого присвоен первый номер.</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Заявитель полагает, что указанные показатели нестоимостного критерия оценки не соответствуют нормам статьи 32 Закона о контрактной системе, поскольку приводят к ограничению конкуренции.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Между тем, Комиссия, проанализировав спорные положения конкурсной документации, усматривает, что приведенная позиция Заявителя ей не соответствует. В рассматриваемом случае представление участниками </w:t>
      </w:r>
      <w:r>
        <w:rPr>
          <w:rStyle w:val="CharStyle19"/>
        </w:rPr>
        <w:t xml:space="preserve">сертификата индекса деловой репутации является не требованием к участию, а </w:t>
      </w:r>
      <w:r>
        <w:rPr>
          <w:lang w:val="ru-RU" w:eastAsia="ru-RU" w:bidi="ru-RU"/>
          <w:sz w:val="24"/>
          <w:szCs w:val="24"/>
          <w:w w:val="100"/>
          <w:color w:val="000000"/>
          <w:position w:val="0"/>
        </w:rPr>
        <w:t>критерием оценки заявки. В случае непредставления сертификата заявке участника присваивается 0 баллов по данному показателю.</w:t>
      </w:r>
    </w:p>
    <w:p>
      <w:pPr>
        <w:pStyle w:val="Style3"/>
        <w:widowControl w:val="0"/>
        <w:keepNext w:val="0"/>
        <w:keepLines w:val="0"/>
        <w:shd w:val="clear" w:color="auto" w:fill="auto"/>
        <w:bidi w:val="0"/>
        <w:jc w:val="left"/>
        <w:spacing w:before="0" w:after="277" w:line="322" w:lineRule="exact"/>
        <w:ind w:left="0" w:right="0" w:firstLine="700"/>
      </w:pPr>
      <w:r>
        <w:rPr>
          <w:lang w:val="ru-RU" w:eastAsia="ru-RU" w:bidi="ru-RU"/>
          <w:sz w:val="24"/>
          <w:szCs w:val="24"/>
          <w:w w:val="100"/>
          <w:color w:val="000000"/>
          <w:position w:val="0"/>
        </w:rPr>
        <w:t>При данных обстоятельствах доводы жалобы Заявителя не нашли своего подтверждения.</w:t>
      </w:r>
    </w:p>
    <w:p>
      <w:pPr>
        <w:pStyle w:val="Style3"/>
        <w:widowControl w:val="0"/>
        <w:keepNext w:val="0"/>
        <w:keepLines w:val="0"/>
        <w:shd w:val="clear" w:color="auto" w:fill="auto"/>
        <w:bidi w:val="0"/>
        <w:jc w:val="left"/>
        <w:spacing w:before="0" w:after="0" w:line="350" w:lineRule="exact"/>
        <w:ind w:left="0" w:right="0" w:firstLine="700"/>
      </w:pPr>
      <w:r>
        <w:rPr>
          <w:lang w:val="ru-RU" w:eastAsia="ru-RU" w:bidi="ru-RU"/>
          <w:sz w:val="24"/>
          <w:szCs w:val="24"/>
          <w:w w:val="100"/>
          <w:color w:val="000000"/>
          <w:position w:val="0"/>
        </w:rPr>
        <w:t>Па основании изложенного и руководствуясь частью 8 статьи 106 Закона о контрактной системе, Комиссия</w:t>
      </w:r>
    </w:p>
    <w:p>
      <w:pPr>
        <w:pStyle w:val="Style3"/>
        <w:widowControl w:val="0"/>
        <w:keepNext w:val="0"/>
        <w:keepLines w:val="0"/>
        <w:shd w:val="clear" w:color="auto" w:fill="auto"/>
        <w:bidi w:val="0"/>
        <w:jc w:val="center"/>
        <w:spacing w:before="0" w:after="382" w:line="240" w:lineRule="exact"/>
        <w:ind w:left="40" w:right="0" w:firstLine="0"/>
      </w:pPr>
      <w:r>
        <w:rPr>
          <w:lang w:val="ru-RU" w:eastAsia="ru-RU" w:bidi="ru-RU"/>
          <w:sz w:val="24"/>
          <w:szCs w:val="24"/>
          <w:w w:val="100"/>
          <w:color w:val="000000"/>
          <w:position w:val="0"/>
        </w:rPr>
        <w:t>РЕШИЛА:</w:t>
      </w:r>
    </w:p>
    <w:p>
      <w:pPr>
        <w:pStyle w:val="Style3"/>
        <w:widowControl w:val="0"/>
        <w:keepNext w:val="0"/>
        <w:keepLines w:val="0"/>
        <w:shd w:val="clear" w:color="auto" w:fill="auto"/>
        <w:bidi w:val="0"/>
        <w:jc w:val="center"/>
        <w:spacing w:before="0" w:after="325" w:line="240" w:lineRule="exact"/>
        <w:ind w:left="40" w:right="0" w:firstLine="0"/>
      </w:pPr>
      <w:r>
        <w:rPr>
          <w:lang w:val="ru-RU" w:eastAsia="ru-RU" w:bidi="ru-RU"/>
          <w:sz w:val="24"/>
          <w:szCs w:val="24"/>
          <w:w w:val="100"/>
          <w:color w:val="000000"/>
          <w:position w:val="0"/>
        </w:rPr>
        <w:t>Признать жалобу ООО «Институт «НОВГОРОДПРОЕКТ» необоснованной.</w:t>
      </w:r>
    </w:p>
    <w:p>
      <w:pPr>
        <w:pStyle w:val="Style21"/>
        <w:widowControl w:val="0"/>
        <w:keepNext w:val="0"/>
        <w:keepLines w:val="0"/>
        <w:shd w:val="clear" w:color="auto" w:fill="auto"/>
        <w:bidi w:val="0"/>
        <w:jc w:val="left"/>
        <w:spacing w:before="0" w:after="0"/>
        <w:ind w:left="0" w:right="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23"/>
        <w:widowControl w:val="0"/>
        <w:keepNext w:val="0"/>
        <w:keepLines w:val="0"/>
        <w:shd w:val="clear" w:color="auto" w:fill="auto"/>
        <w:bidi w:val="0"/>
        <w:jc w:val="left"/>
        <w:spacing w:before="0" w:after="0"/>
        <w:ind w:left="6180" w:right="0" w:firstLine="0"/>
      </w:pPr>
      <w:r>
        <w:rPr>
          <w:lang w:val="ru-RU" w:eastAsia="ru-RU" w:bidi="ru-RU"/>
          <w:w w:val="100"/>
          <w:spacing w:val="0"/>
          <w:color w:val="000000"/>
          <w:position w:val="0"/>
        </w:rPr>
        <w:t>\ .</w:t>
      </w:r>
    </w:p>
    <w:p>
      <w:pPr>
        <w:pStyle w:val="Style3"/>
        <w:tabs>
          <w:tab w:leader="none" w:pos="9432" w:val="right"/>
        </w:tabs>
        <w:widowControl w:val="0"/>
        <w:keepNext w:val="0"/>
        <w:keepLines w:val="0"/>
        <w:shd w:val="clear" w:color="auto" w:fill="auto"/>
        <w:bidi w:val="0"/>
        <w:jc w:val="both"/>
        <w:spacing w:before="0" w:after="0" w:line="317" w:lineRule="exact"/>
        <w:ind w:left="0" w:right="0" w:firstLine="0"/>
        <w:sectPr>
          <w:footnotePr>
            <w:pos w:val="pageBottom"/>
            <w:numFmt w:val="decimal"/>
            <w:numRestart w:val="continuous"/>
          </w:footnotePr>
          <w:type w:val="continuous"/>
          <w:pgSz w:w="11906" w:h="16838"/>
          <w:pgMar w:top="821" w:left="819" w:right="771" w:bottom="567" w:header="0" w:footer="3" w:gutter="0"/>
          <w:rtlGutter w:val="0"/>
          <w:cols w:space="720"/>
          <w:noEndnote/>
          <w:docGrid w:linePitch="360"/>
        </w:sectPr>
      </w:pPr>
      <w:r>
        <w:rPr>
          <w:lang w:val="ru-RU" w:eastAsia="ru-RU" w:bidi="ru-RU"/>
          <w:sz w:val="24"/>
          <w:szCs w:val="24"/>
          <w:w w:val="100"/>
          <w:color w:val="000000"/>
          <w:position w:val="0"/>
        </w:rPr>
        <w:t>Председатель Комиссии</w:t>
        <w:tab/>
        <w:t>А.А. Журавлев</w:t>
      </w: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color w:val="000000"/>
          <w:position w:val="0"/>
        </w:rPr>
        <w:t>Члены Комиссии</w:t>
      </w:r>
    </w:p>
    <w:sectPr>
      <w:type w:val="continuous"/>
      <w:pgSz w:w="11906" w:h="16838"/>
      <w:pgMar w:top="2270" w:left="848" w:right="8749" w:bottom="81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spacing w:val="10"/>
    </w:rPr>
  </w:style>
  <w:style w:type="character" w:customStyle="1" w:styleId="CharStyle5">
    <w:name w:val="Основной текст"/>
    <w:basedOn w:val="CharStyle4"/>
    <w:rPr>
      <w:lang w:val="ru-RU" w:eastAsia="ru-RU" w:bidi="ru-RU"/>
      <w:sz w:val="24"/>
      <w:szCs w:val="24"/>
      <w:w w:val="100"/>
      <w:color w:val="000000"/>
      <w:position w:val="0"/>
    </w:rPr>
  </w:style>
  <w:style w:type="character" w:customStyle="1" w:styleId="CharStyle6">
    <w:name w:val="Основной текст + Интервал 0 pt"/>
    <w:basedOn w:val="CharStyle4"/>
    <w:rPr>
      <w:lang w:val="ru-RU" w:eastAsia="ru-RU" w:bidi="ru-RU"/>
      <w:sz w:val="24"/>
      <w:szCs w:val="24"/>
      <w:w w:val="100"/>
      <w:spacing w:val="0"/>
      <w:color w:val="000000"/>
      <w:position w:val="0"/>
    </w:rPr>
  </w:style>
  <w:style w:type="character" w:customStyle="1" w:styleId="CharStyle8">
    <w:name w:val="Заголовок №1_"/>
    <w:basedOn w:val="DefaultParagraphFont"/>
    <w:link w:val="Style7"/>
    <w:rPr>
      <w:b w:val="0"/>
      <w:bCs w:val="0"/>
      <w:i w:val="0"/>
      <w:iCs w:val="0"/>
      <w:u w:val="none"/>
      <w:strike w:val="0"/>
      <w:smallCaps w:val="0"/>
      <w:sz w:val="28"/>
      <w:szCs w:val="28"/>
      <w:rFonts w:ascii="Franklin Gothic Medium" w:eastAsia="Franklin Gothic Medium" w:hAnsi="Franklin Gothic Medium" w:cs="Franklin Gothic Medium"/>
    </w:rPr>
  </w:style>
  <w:style w:type="character" w:customStyle="1" w:styleId="CharStyle9">
    <w:name w:val="Заголовок №1 + Times New Roman,23 pt,Курсив"/>
    <w:basedOn w:val="CharStyle8"/>
    <w:rPr>
      <w:lang w:val="ru-RU" w:eastAsia="ru-RU" w:bidi="ru-RU"/>
      <w:i/>
      <w:iCs/>
      <w:sz w:val="46"/>
      <w:szCs w:val="46"/>
      <w:rFonts w:ascii="Times New Roman" w:eastAsia="Times New Roman" w:hAnsi="Times New Roman" w:cs="Times New Roman"/>
      <w:w w:val="100"/>
      <w:spacing w:val="0"/>
      <w:color w:val="000000"/>
      <w:position w:val="0"/>
    </w:rPr>
  </w:style>
  <w:style w:type="character" w:customStyle="1" w:styleId="CharStyle10">
    <w:name w:val="Заголовок №1 + Times New Roman,23 pt,Курсив,Интервал -2 pt"/>
    <w:basedOn w:val="CharStyle8"/>
    <w:rPr>
      <w:lang w:val="ru-RU" w:eastAsia="ru-RU" w:bidi="ru-RU"/>
      <w:i/>
      <w:iCs/>
      <w:sz w:val="46"/>
      <w:szCs w:val="46"/>
      <w:rFonts w:ascii="Times New Roman" w:eastAsia="Times New Roman" w:hAnsi="Times New Roman" w:cs="Times New Roman"/>
      <w:w w:val="100"/>
      <w:spacing w:val="-50"/>
      <w:color w:val="000000"/>
      <w:position w:val="0"/>
    </w:rPr>
  </w:style>
  <w:style w:type="character" w:customStyle="1" w:styleId="CharStyle12">
    <w:name w:val="Заголовок №2_"/>
    <w:basedOn w:val="DefaultParagraphFont"/>
    <w:link w:val="Style11"/>
    <w:rPr>
      <w:b w:val="0"/>
      <w:bCs w:val="0"/>
      <w:i w:val="0"/>
      <w:iCs w:val="0"/>
      <w:u w:val="none"/>
      <w:strike w:val="0"/>
      <w:smallCaps w:val="0"/>
      <w:sz w:val="28"/>
      <w:szCs w:val="28"/>
      <w:rFonts w:ascii="Times New Roman" w:eastAsia="Times New Roman" w:hAnsi="Times New Roman" w:cs="Times New Roman"/>
    </w:rPr>
  </w:style>
  <w:style w:type="character" w:customStyle="1" w:styleId="CharStyle14">
    <w:name w:val="Заголовок №3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Заголовок №3 + Интервал 0 pt"/>
    <w:basedOn w:val="CharStyle14"/>
    <w:rPr>
      <w:lang w:val="ru-RU" w:eastAsia="ru-RU" w:bidi="ru-RU"/>
      <w:sz w:val="24"/>
      <w:szCs w:val="24"/>
      <w:w w:val="100"/>
      <w:spacing w:val="10"/>
      <w:color w:val="000000"/>
      <w:position w:val="0"/>
    </w:rPr>
  </w:style>
  <w:style w:type="character" w:customStyle="1" w:styleId="CharStyle17">
    <w:name w:val="Основной текст (2)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2) + Интервал 0 pt"/>
    <w:basedOn w:val="CharStyle17"/>
    <w:rPr>
      <w:lang w:val="ru-RU" w:eastAsia="ru-RU" w:bidi="ru-RU"/>
      <w:sz w:val="24"/>
      <w:szCs w:val="24"/>
      <w:w w:val="100"/>
      <w:spacing w:val="10"/>
      <w:color w:val="000000"/>
      <w:position w:val="0"/>
    </w:rPr>
  </w:style>
  <w:style w:type="character" w:customStyle="1" w:styleId="CharStyle19">
    <w:name w:val="Основной текст"/>
    <w:basedOn w:val="CharStyle4"/>
    <w:rPr>
      <w:lang w:val="ru-RU" w:eastAsia="ru-RU" w:bidi="ru-RU"/>
      <w:sz w:val="24"/>
      <w:szCs w:val="24"/>
      <w:w w:val="100"/>
      <w:color w:val="000000"/>
      <w:position w:val="0"/>
    </w:rPr>
  </w:style>
  <w:style w:type="character" w:customStyle="1" w:styleId="CharStyle20">
    <w:name w:val="Основной текст"/>
    <w:basedOn w:val="CharStyle4"/>
    <w:rPr>
      <w:lang w:val="ru-RU" w:eastAsia="ru-RU" w:bidi="ru-RU"/>
      <w:sz w:val="24"/>
      <w:szCs w:val="24"/>
      <w:w w:val="100"/>
      <w:color w:val="000000"/>
      <w:position w:val="0"/>
    </w:rPr>
  </w:style>
  <w:style w:type="character" w:customStyle="1" w:styleId="CharStyle22">
    <w:name w:val="Основной текст (3)_"/>
    <w:basedOn w:val="DefaultParagraphFont"/>
    <w:link w:val="Style21"/>
    <w:rPr>
      <w:b w:val="0"/>
      <w:bCs w:val="0"/>
      <w:i/>
      <w:iCs/>
      <w:u w:val="none"/>
      <w:strike w:val="0"/>
      <w:smallCaps w:val="0"/>
      <w:sz w:val="26"/>
      <w:szCs w:val="26"/>
      <w:rFonts w:ascii="Times New Roman" w:eastAsia="Times New Roman" w:hAnsi="Times New Roman" w:cs="Times New Roman"/>
    </w:rPr>
  </w:style>
  <w:style w:type="character" w:customStyle="1" w:styleId="CharStyle24">
    <w:name w:val="Основной текст (4)_"/>
    <w:basedOn w:val="DefaultParagraphFont"/>
    <w:link w:val="Style23"/>
    <w:rPr>
      <w:b w:val="0"/>
      <w:bCs w:val="0"/>
      <w:i w:val="0"/>
      <w:iCs w:val="0"/>
      <w:u w:val="none"/>
      <w:strike w:val="0"/>
      <w:smallCaps w:val="0"/>
      <w:sz w:val="15"/>
      <w:szCs w:val="15"/>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7">
    <w:name w:val="Заголовок №1"/>
    <w:basedOn w:val="Normal"/>
    <w:link w:val="CharStyle8"/>
    <w:pPr>
      <w:widowControl w:val="0"/>
      <w:shd w:val="clear" w:color="auto" w:fill="FFFFFF"/>
      <w:outlineLvl w:val="0"/>
      <w:spacing w:before="60" w:after="240" w:line="0" w:lineRule="exact"/>
    </w:pPr>
    <w:rPr>
      <w:b w:val="0"/>
      <w:bCs w:val="0"/>
      <w:i w:val="0"/>
      <w:iCs w:val="0"/>
      <w:u w:val="none"/>
      <w:strike w:val="0"/>
      <w:smallCaps w:val="0"/>
      <w:sz w:val="28"/>
      <w:szCs w:val="28"/>
      <w:rFonts w:ascii="Franklin Gothic Medium" w:eastAsia="Franklin Gothic Medium" w:hAnsi="Franklin Gothic Medium" w:cs="Franklin Gothic Medium"/>
    </w:rPr>
  </w:style>
  <w:style w:type="paragraph" w:customStyle="1" w:styleId="Style11">
    <w:name w:val="Заголовок №2"/>
    <w:basedOn w:val="Normal"/>
    <w:link w:val="CharStyle12"/>
    <w:pPr>
      <w:widowControl w:val="0"/>
      <w:shd w:val="clear" w:color="auto" w:fill="FFFFFF"/>
      <w:jc w:val="right"/>
      <w:outlineLvl w:val="1"/>
      <w:spacing w:before="42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13">
    <w:name w:val="Заголовок №3"/>
    <w:basedOn w:val="Normal"/>
    <w:link w:val="CharStyle14"/>
    <w:pPr>
      <w:widowControl w:val="0"/>
      <w:shd w:val="clear" w:color="auto" w:fill="FFFFFF"/>
      <w:jc w:val="both"/>
      <w:outlineLvl w:val="2"/>
      <w:spacing w:line="341"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16">
    <w:name w:val="Основной текст (2)"/>
    <w:basedOn w:val="Normal"/>
    <w:link w:val="CharStyle17"/>
    <w:pPr>
      <w:widowControl w:val="0"/>
      <w:shd w:val="clear" w:color="auto" w:fill="FFFFFF"/>
      <w:jc w:val="both"/>
      <w:spacing w:before="60" w:line="288"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Основной текст (3)"/>
    <w:basedOn w:val="Normal"/>
    <w:link w:val="CharStyle22"/>
    <w:pPr>
      <w:widowControl w:val="0"/>
      <w:shd w:val="clear" w:color="auto" w:fill="FFFFFF"/>
      <w:spacing w:before="420" w:line="317"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3">
    <w:name w:val="Основной текст (4)"/>
    <w:basedOn w:val="Normal"/>
    <w:link w:val="CharStyle24"/>
    <w:pPr>
      <w:widowControl w:val="0"/>
      <w:shd w:val="clear" w:color="auto" w:fill="FFFFFF"/>
      <w:spacing w:line="317"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