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0" w:after="0" w:line="240" w:lineRule="exact"/>
        <w:ind w:left="4800" w:right="0" w:firstLine="0"/>
      </w:pPr>
      <w:r>
        <w:rPr>
          <w:lang w:val="ru-RU" w:eastAsia="ru-RU" w:bidi="ru-RU"/>
          <w:sz w:val="24"/>
          <w:szCs w:val="24"/>
          <w:w w:val="100"/>
          <w:color w:val="000000"/>
          <w:position w:val="0"/>
        </w:rPr>
        <w:t>Заказчик:</w:t>
      </w:r>
    </w:p>
    <w:p>
      <w:pPr>
        <w:pStyle w:val="Style3"/>
        <w:framePr w:w="4053" w:h="1533" w:wrap="around" w:vAnchor="text" w:hAnchor="margin" w:x="-57" w:y="1216"/>
        <w:widowControl w:val="0"/>
        <w:keepNext w:val="0"/>
        <w:keepLines w:val="0"/>
        <w:shd w:val="clear" w:color="auto" w:fill="auto"/>
        <w:bidi w:val="0"/>
        <w:spacing w:before="0" w:after="111"/>
        <w:ind w:left="0" w:right="100" w:firstLine="0"/>
      </w:pPr>
      <w:r>
        <w:rPr>
          <w:lang w:val="ru-RU" w:eastAsia="ru-RU" w:bidi="ru-RU"/>
          <w:w w:val="100"/>
          <w:spacing w:val="20"/>
          <w:color w:val="000000"/>
          <w:position w:val="0"/>
        </w:rPr>
        <w:t>ФЕДЕРАЛ ЬНАЯ АН П1 МОНОПОЛИИ \Я СЛУЖБА</w:t>
      </w:r>
    </w:p>
    <w:p>
      <w:pPr>
        <w:pStyle w:val="Style5"/>
        <w:framePr w:w="4053" w:h="1533" w:wrap="around" w:vAnchor="text" w:hAnchor="margin" w:x="-57" w:y="1216"/>
        <w:widowControl w:val="0"/>
        <w:keepNext w:val="0"/>
        <w:keepLines w:val="0"/>
        <w:shd w:val="clear" w:color="auto" w:fill="auto"/>
        <w:bidi w:val="0"/>
        <w:jc w:val="left"/>
        <w:spacing w:before="0" w:after="0"/>
        <w:ind w:left="0" w:right="100"/>
      </w:pPr>
      <w:r>
        <w:rPr>
          <w:lang w:val="ru-RU" w:eastAsia="ru-RU" w:bidi="ru-RU"/>
          <w:w w:val="100"/>
          <w:spacing w:val="10"/>
          <w:color w:val="000000"/>
          <w:position w:val="0"/>
        </w:rPr>
        <w:t>УПРАВЛЕНИЕ Федеральной антимонопольной с. г но Ленинградской облает</w:t>
      </w:r>
    </w:p>
    <w:p>
      <w:pPr>
        <w:pStyle w:val="Style7"/>
        <w:widowControl w:val="0"/>
        <w:keepNext w:val="0"/>
        <w:keepLines w:val="0"/>
        <w:shd w:val="clear" w:color="auto" w:fill="auto"/>
        <w:bidi w:val="0"/>
        <w:spacing w:before="0" w:after="244" w:line="331" w:lineRule="exact"/>
        <w:ind w:left="4800" w:right="160" w:firstLine="0"/>
      </w:pPr>
      <w:r>
        <w:rPr>
          <w:lang w:val="ru-RU" w:eastAsia="ru-RU" w:bidi="ru-RU"/>
          <w:sz w:val="24"/>
          <w:szCs w:val="24"/>
          <w:w w:val="100"/>
          <w:color w:val="000000"/>
          <w:position w:val="0"/>
        </w:rPr>
        <w:t>Государственное бюджетное учреждение здравоохранения Ленинградской области «Сланцевская межрайонная больница»</w:t>
      </w:r>
    </w:p>
    <w:p>
      <w:pPr>
        <w:pStyle w:val="Style7"/>
        <w:widowControl w:val="0"/>
        <w:keepNext w:val="0"/>
        <w:keepLines w:val="0"/>
        <w:shd w:val="clear" w:color="auto" w:fill="auto"/>
        <w:bidi w:val="0"/>
        <w:jc w:val="left"/>
        <w:spacing w:before="0" w:after="309" w:line="326" w:lineRule="exact"/>
        <w:ind w:left="960" w:right="1380" w:firstLine="0"/>
      </w:pPr>
      <w:r>
        <w:rPr>
          <w:lang w:val="ru-RU" w:eastAsia="ru-RU" w:bidi="ru-RU"/>
          <w:sz w:val="24"/>
          <w:szCs w:val="24"/>
          <w:w w:val="100"/>
          <w:color w:val="000000"/>
          <w:position w:val="0"/>
        </w:rPr>
        <w:t xml:space="preserve">ул. Гагарина, д. 2, г. Сланцы, </w:t>
      </w:r>
      <w:r>
        <w:rPr>
          <w:rStyle w:val="CharStyle10"/>
        </w:rPr>
        <w:t xml:space="preserve">Ленинградская область, </w:t>
      </w:r>
      <w:r>
        <w:rPr>
          <w:lang w:val="ru-RU" w:eastAsia="ru-RU" w:bidi="ru-RU"/>
          <w:sz w:val="24"/>
          <w:szCs w:val="24"/>
          <w:w w:val="100"/>
          <w:color w:val="000000"/>
          <w:position w:val="0"/>
        </w:rPr>
        <w:t xml:space="preserve">188560 тел.: (81374)24942 </w:t>
      </w:r>
      <w:r>
        <w:rPr>
          <w:lang w:val="en-US" w:eastAsia="en-US" w:bidi="en-US"/>
          <w:sz w:val="24"/>
          <w:szCs w:val="24"/>
          <w:w w:val="100"/>
          <w:color w:val="000000"/>
          <w:position w:val="0"/>
        </w:rPr>
        <w:t xml:space="preserve">e-mail: </w:t>
      </w:r>
      <w:r>
        <w:fldChar w:fldCharType="begin"/>
      </w:r>
      <w:r>
        <w:rPr>
          <w:color w:val="000000"/>
        </w:rPr>
        <w:instrText> HYPERLINK "mailto:economistcrb@mail.ru" </w:instrText>
      </w:r>
      <w:r>
        <w:fldChar w:fldCharType="separate"/>
      </w:r>
      <w:r>
        <w:rPr>
          <w:rStyle w:val="Hyperlink"/>
          <w:lang w:val="en-US" w:eastAsia="en-US" w:bidi="en-US"/>
          <w:sz w:val="24"/>
          <w:szCs w:val="24"/>
          <w:w w:val="100"/>
          <w:position w:val="0"/>
        </w:rPr>
        <w:t>economistcrb@mail.ru</w:t>
      </w:r>
      <w:r>
        <w:fldChar w:fldCharType="end"/>
      </w:r>
    </w:p>
    <w:p>
      <w:pPr>
        <w:pStyle w:val="Style7"/>
        <w:widowControl w:val="0"/>
        <w:keepNext w:val="0"/>
        <w:keepLines w:val="0"/>
        <w:shd w:val="clear" w:color="auto" w:fill="auto"/>
        <w:bidi w:val="0"/>
        <w:spacing w:before="0" w:after="22" w:line="240" w:lineRule="exact"/>
        <w:ind w:left="4800" w:right="0" w:firstLine="0"/>
      </w:pPr>
      <w:r>
        <w:rPr>
          <w:lang w:val="ru-RU" w:eastAsia="ru-RU" w:bidi="ru-RU"/>
          <w:sz w:val="24"/>
          <w:szCs w:val="24"/>
          <w:w w:val="100"/>
          <w:color w:val="000000"/>
          <w:position w:val="0"/>
        </w:rPr>
        <w:t>Заявитель:</w:t>
      </w:r>
    </w:p>
    <w:p>
      <w:pPr>
        <w:pStyle w:val="Style7"/>
        <w:widowControl w:val="0"/>
        <w:keepNext w:val="0"/>
        <w:keepLines w:val="0"/>
        <w:shd w:val="clear" w:color="auto" w:fill="auto"/>
        <w:bidi w:val="0"/>
        <w:jc w:val="left"/>
        <w:spacing w:before="0" w:after="252" w:line="240" w:lineRule="exact"/>
        <w:ind w:left="20" w:right="0" w:firstLine="0"/>
      </w:pPr>
      <w:r>
        <w:rPr>
          <w:lang w:val="ru-RU" w:eastAsia="ru-RU" w:bidi="ru-RU"/>
          <w:sz w:val="24"/>
          <w:szCs w:val="24"/>
          <w:w w:val="100"/>
          <w:color w:val="000000"/>
          <w:position w:val="0"/>
        </w:rPr>
        <w:t>ООО «Компания ЕВРОДЕЗ»</w:t>
      </w:r>
    </w:p>
    <w:p>
      <w:pPr>
        <w:pStyle w:val="Style7"/>
        <w:widowControl w:val="0"/>
        <w:keepNext w:val="0"/>
        <w:keepLines w:val="0"/>
        <w:shd w:val="clear" w:color="auto" w:fill="auto"/>
        <w:bidi w:val="0"/>
        <w:jc w:val="left"/>
        <w:spacing w:before="0" w:after="305" w:line="322" w:lineRule="exact"/>
        <w:ind w:left="20" w:right="20" w:firstLine="0"/>
      </w:pPr>
      <w:r>
        <w:rPr>
          <w:lang w:val="ru-RU" w:eastAsia="ru-RU" w:bidi="ru-RU"/>
          <w:sz w:val="24"/>
          <w:szCs w:val="24"/>
          <w:w w:val="100"/>
          <w:color w:val="000000"/>
          <w:position w:val="0"/>
        </w:rPr>
        <w:t xml:space="preserve">ул. Сокольнический вал, д. 37Д, стр. 1 оф. 6, Москва, 107113 тел.: (499) 2690625 </w:t>
      </w:r>
      <w:r>
        <w:rPr>
          <w:lang w:val="en-US" w:eastAsia="en-US" w:bidi="en-US"/>
          <w:sz w:val="24"/>
          <w:szCs w:val="24"/>
          <w:w w:val="100"/>
          <w:color w:val="000000"/>
          <w:position w:val="0"/>
        </w:rPr>
        <w:t xml:space="preserve">e-mail: </w:t>
      </w:r>
      <w:r>
        <w:fldChar w:fldCharType="begin"/>
      </w:r>
      <w:r>
        <w:rPr>
          <w:color w:val="000000"/>
        </w:rPr>
        <w:instrText> HYPERLINK "mailto:evrodez@yandex.ru" </w:instrText>
      </w:r>
      <w:r>
        <w:fldChar w:fldCharType="separate"/>
      </w:r>
      <w:r>
        <w:rPr>
          <w:rStyle w:val="Hyperlink"/>
          <w:lang w:val="en-US" w:eastAsia="en-US" w:bidi="en-US"/>
          <w:sz w:val="24"/>
          <w:szCs w:val="24"/>
          <w:w w:val="100"/>
          <w:position w:val="0"/>
        </w:rPr>
        <w:t>evrodez@yandex.ru</w:t>
      </w:r>
      <w:r>
        <w:fldChar w:fldCharType="end"/>
      </w:r>
    </w:p>
    <w:p>
      <w:pPr>
        <w:pStyle w:val="Style7"/>
        <w:widowControl w:val="0"/>
        <w:keepNext w:val="0"/>
        <w:keepLines w:val="0"/>
        <w:shd w:val="clear" w:color="auto" w:fill="auto"/>
        <w:bidi w:val="0"/>
        <w:spacing w:before="0" w:after="252" w:line="240" w:lineRule="exact"/>
        <w:ind w:left="4800" w:right="0" w:firstLine="0"/>
      </w:pPr>
      <w:r>
        <w:rPr>
          <w:lang w:val="ru-RU" w:eastAsia="ru-RU" w:bidi="ru-RU"/>
          <w:sz w:val="24"/>
          <w:szCs w:val="24"/>
          <w:w w:val="100"/>
          <w:color w:val="000000"/>
          <w:position w:val="0"/>
        </w:rPr>
        <w:t>Оператор электронной площадки:</w:t>
      </w:r>
    </w:p>
    <w:p>
      <w:pPr>
        <w:pStyle w:val="Style7"/>
        <w:widowControl w:val="0"/>
        <w:keepNext w:val="0"/>
        <w:keepLines w:val="0"/>
        <w:shd w:val="clear" w:color="auto" w:fill="auto"/>
        <w:bidi w:val="0"/>
        <w:spacing w:before="0" w:after="305" w:line="322" w:lineRule="exact"/>
        <w:ind w:left="4800" w:right="2780" w:firstLine="0"/>
      </w:pPr>
      <w:r>
        <w:rPr>
          <w:lang w:val="ru-RU" w:eastAsia="ru-RU" w:bidi="ru-RU"/>
          <w:sz w:val="24"/>
          <w:szCs w:val="24"/>
          <w:w w:val="100"/>
          <w:color w:val="000000"/>
          <w:position w:val="0"/>
        </w:rPr>
        <w:t xml:space="preserve">ООО «РТС тендер» тел.: (495) 733-9519 </w:t>
      </w:r>
      <w:r>
        <w:rPr>
          <w:lang w:val="en-US" w:eastAsia="en-US" w:bidi="en-US"/>
          <w:sz w:val="24"/>
          <w:szCs w:val="24"/>
          <w:w w:val="10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sz w:val="24"/>
          <w:szCs w:val="24"/>
          <w:w w:val="100"/>
          <w:position w:val="0"/>
        </w:rPr>
        <w:t>info@rts-tender.ru</w:t>
      </w:r>
      <w:r>
        <w:fldChar w:fldCharType="end"/>
      </w:r>
    </w:p>
    <w:p>
      <w:pPr>
        <w:pStyle w:val="Style7"/>
        <w:widowControl w:val="0"/>
        <w:keepNext w:val="0"/>
        <w:keepLines w:val="0"/>
        <w:shd w:val="clear" w:color="auto" w:fill="auto"/>
        <w:bidi w:val="0"/>
        <w:spacing w:before="0" w:after="606" w:line="240" w:lineRule="exact"/>
        <w:ind w:left="4800" w:right="0" w:firstLine="0"/>
      </w:pPr>
      <w:r>
        <w:rPr>
          <w:lang w:val="ru-RU" w:eastAsia="ru-RU" w:bidi="ru-RU"/>
          <w:sz w:val="24"/>
          <w:szCs w:val="24"/>
          <w:w w:val="100"/>
          <w:color w:val="000000"/>
          <w:position w:val="0"/>
        </w:rPr>
        <w:t>извещение: № 0345300032417000200</w:t>
      </w:r>
    </w:p>
    <w:p>
      <w:pPr>
        <w:pStyle w:val="Style7"/>
        <w:widowControl w:val="0"/>
        <w:keepNext w:val="0"/>
        <w:keepLines w:val="0"/>
        <w:shd w:val="clear" w:color="auto" w:fill="auto"/>
        <w:bidi w:val="0"/>
        <w:jc w:val="center"/>
        <w:spacing w:before="0" w:after="302" w:line="317" w:lineRule="exact"/>
        <w:ind w:left="20" w:right="0" w:firstLine="0"/>
      </w:pPr>
      <w:r>
        <w:rPr>
          <w:lang w:val="ru-RU" w:eastAsia="ru-RU" w:bidi="ru-RU"/>
          <w:sz w:val="24"/>
          <w:szCs w:val="24"/>
          <w:w w:val="10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color w:val="000000"/>
          <w:position w:val="0"/>
        </w:rPr>
        <w:t>1354-03-9994-P3/17</w:t>
      </w:r>
    </w:p>
    <w:p>
      <w:pPr>
        <w:pStyle w:val="Style7"/>
        <w:tabs>
          <w:tab w:leader="none" w:pos="9644" w:val="right"/>
        </w:tabs>
        <w:widowControl w:val="0"/>
        <w:keepNext w:val="0"/>
        <w:keepLines w:val="0"/>
        <w:shd w:val="clear" w:color="auto" w:fill="auto"/>
        <w:bidi w:val="0"/>
        <w:spacing w:before="0" w:after="252" w:line="240" w:lineRule="exact"/>
        <w:ind w:left="20" w:right="0" w:firstLine="0"/>
      </w:pPr>
      <w:r>
        <w:rPr>
          <w:lang w:val="ru-RU" w:eastAsia="ru-RU" w:bidi="ru-RU"/>
          <w:sz w:val="24"/>
          <w:szCs w:val="24"/>
          <w:w w:val="100"/>
          <w:color w:val="000000"/>
          <w:position w:val="0"/>
        </w:rPr>
        <w:t>03 ноября 2017 года</w:t>
        <w:tab/>
        <w:t>Санкт-Петербург</w:t>
      </w:r>
    </w:p>
    <w:p>
      <w:pPr>
        <w:pStyle w:val="Style7"/>
        <w:widowControl w:val="0"/>
        <w:keepNext w:val="0"/>
        <w:keepLines w:val="0"/>
        <w:shd w:val="clear" w:color="auto" w:fill="auto"/>
        <w:bidi w:val="0"/>
        <w:jc w:val="left"/>
        <w:spacing w:before="0" w:after="0" w:line="322" w:lineRule="exact"/>
        <w:ind w:left="20" w:right="20" w:firstLine="68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7"/>
        <w:widowControl w:val="0"/>
        <w:keepNext w:val="0"/>
        <w:keepLines w:val="0"/>
        <w:shd w:val="clear" w:color="auto" w:fill="auto"/>
        <w:bidi w:val="0"/>
        <w:jc w:val="left"/>
        <w:spacing w:before="0" w:after="0" w:line="322" w:lineRule="exact"/>
        <w:ind w:left="20" w:right="20" w:firstLine="680"/>
      </w:pPr>
      <w:r>
        <w:rPr>
          <w:lang w:val="ru-RU" w:eastAsia="ru-RU" w:bidi="ru-RU"/>
          <w:sz w:val="24"/>
          <w:szCs w:val="24"/>
          <w:w w:val="100"/>
          <w:color w:val="000000"/>
          <w:position w:val="0"/>
        </w:rPr>
        <w:t>Журавлева Алексея Александровича - заместителя руководителя, председателя Комиссии,</w:t>
      </w:r>
    </w:p>
    <w:p>
      <w:pPr>
        <w:pStyle w:val="Style7"/>
        <w:widowControl w:val="0"/>
        <w:keepNext w:val="0"/>
        <w:keepLines w:val="0"/>
        <w:shd w:val="clear" w:color="auto" w:fill="auto"/>
        <w:bidi w:val="0"/>
        <w:jc w:val="left"/>
        <w:spacing w:before="0" w:after="0" w:line="322" w:lineRule="exact"/>
        <w:ind w:left="20" w:right="20" w:firstLine="680"/>
      </w:pPr>
      <w:r>
        <w:rPr>
          <w:lang w:val="ru-RU" w:eastAsia="ru-RU" w:bidi="ru-RU"/>
          <w:sz w:val="24"/>
          <w:szCs w:val="24"/>
          <w:w w:val="100"/>
          <w:color w:val="000000"/>
          <w:position w:val="0"/>
        </w:rPr>
        <w:t>Хрущ Виктории Дановны - врио начальника отдела контроля закупок, члена Комиссии,</w:t>
      </w:r>
    </w:p>
    <w:p>
      <w:pPr>
        <w:pStyle w:val="Style7"/>
        <w:widowControl w:val="0"/>
        <w:keepNext w:val="0"/>
        <w:keepLines w:val="0"/>
        <w:shd w:val="clear" w:color="auto" w:fill="auto"/>
        <w:bidi w:val="0"/>
        <w:jc w:val="left"/>
        <w:spacing w:before="0" w:after="0" w:line="322" w:lineRule="exact"/>
        <w:ind w:left="20" w:right="20" w:firstLine="68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7"/>
        <w:widowControl w:val="0"/>
        <w:keepNext w:val="0"/>
        <w:keepLines w:val="0"/>
        <w:shd w:val="clear" w:color="auto" w:fill="auto"/>
        <w:bidi w:val="0"/>
        <w:jc w:val="left"/>
        <w:spacing w:before="0" w:after="0" w:line="322" w:lineRule="exact"/>
        <w:ind w:left="20" w:right="0" w:firstLine="680"/>
      </w:pPr>
      <w:r>
        <w:rPr>
          <w:lang w:val="ru-RU" w:eastAsia="ru-RU" w:bidi="ru-RU"/>
          <w:sz w:val="24"/>
          <w:szCs w:val="24"/>
          <w:w w:val="100"/>
          <w:color w:val="000000"/>
          <w:position w:val="0"/>
        </w:rPr>
        <w:t>с участием в заседании представителей по доверенностям:</w:t>
      </w:r>
    </w:p>
    <w:p>
      <w:pPr>
        <w:pStyle w:val="Style7"/>
        <w:widowControl w:val="0"/>
        <w:keepNext w:val="0"/>
        <w:keepLines w:val="0"/>
        <w:shd w:val="clear" w:color="auto" w:fill="auto"/>
        <w:bidi w:val="0"/>
        <w:jc w:val="left"/>
        <w:spacing w:before="0" w:after="377" w:line="322" w:lineRule="exact"/>
        <w:ind w:left="20" w:right="20" w:firstLine="680"/>
      </w:pPr>
      <w:r>
        <w:rPr>
          <w:lang w:val="ru-RU" w:eastAsia="ru-RU" w:bidi="ru-RU"/>
          <w:sz w:val="24"/>
          <w:szCs w:val="24"/>
          <w:w w:val="100"/>
          <w:color w:val="000000"/>
          <w:position w:val="0"/>
        </w:rPr>
        <w:t>Государственного бюджетного учреждения здравоохранения Ленинградской области «Сланцевская межрайонная больница» (далее - Заказчик):</w:t>
      </w:r>
    </w:p>
    <w:p>
      <w:pPr>
        <w:pStyle w:val="Style11"/>
        <w:widowControl w:val="0"/>
        <w:keepNext/>
        <w:keepLines/>
        <w:shd w:val="clear" w:color="auto" w:fill="auto"/>
        <w:bidi w:val="0"/>
        <w:spacing w:before="0" w:after="0" w:line="300" w:lineRule="exact"/>
        <w:ind w:left="0" w:right="160" w:firstLine="0"/>
      </w:pPr>
      <w:bookmarkStart w:id="0" w:name="bookmark0"/>
      <w:r>
        <w:rPr>
          <w:lang w:val="ru-RU" w:eastAsia="ru-RU" w:bidi="ru-RU"/>
          <w:w w:val="100"/>
          <w:color w:val="000000"/>
          <w:position w:val="0"/>
        </w:rPr>
        <w:t>0 7 8 89 О</w:t>
      </w:r>
      <w:bookmarkEnd w:id="0"/>
      <w:r>
        <w:br w:type="page"/>
      </w:r>
    </w:p>
    <w:p>
      <w:pPr>
        <w:pStyle w:val="Style13"/>
        <w:widowControl w:val="0"/>
        <w:keepNext/>
        <w:keepLines/>
        <w:shd w:val="clear" w:color="auto" w:fill="auto"/>
        <w:bidi w:val="0"/>
        <w:jc w:val="left"/>
        <w:spacing w:before="0" w:after="0" w:line="240" w:lineRule="exact"/>
        <w:ind w:left="20" w:right="0" w:firstLine="0"/>
      </w:pPr>
      <w:bookmarkStart w:id="1" w:name="bookmark1"/>
      <w:r>
        <w:rPr>
          <w:lang w:val="ru-RU" w:eastAsia="ru-RU" w:bidi="ru-RU"/>
          <w:sz w:val="24"/>
          <w:szCs w:val="24"/>
          <w:w w:val="100"/>
          <w:spacing w:val="0"/>
          <w:color w:val="000000"/>
          <w:position w:val="0"/>
        </w:rPr>
        <w:t>Зыхцык Елены Валерьевны, Батылина Максима Владимировича,</w:t>
      </w:r>
      <w:bookmarkEnd w:id="1"/>
    </w:p>
    <w:p>
      <w:pPr>
        <w:pStyle w:val="Style7"/>
        <w:widowControl w:val="0"/>
        <w:keepNext w:val="0"/>
        <w:keepLines w:val="0"/>
        <w:shd w:val="clear" w:color="auto" w:fill="auto"/>
        <w:bidi w:val="0"/>
        <w:spacing w:before="0" w:after="0" w:line="346" w:lineRule="exact"/>
        <w:ind w:left="20" w:right="20" w:firstLine="700"/>
      </w:pPr>
      <w:r>
        <w:rPr>
          <w:lang w:val="ru-RU" w:eastAsia="ru-RU" w:bidi="ru-RU"/>
          <w:sz w:val="24"/>
          <w:szCs w:val="24"/>
          <w:w w:val="100"/>
          <w:color w:val="000000"/>
          <w:position w:val="0"/>
        </w:rPr>
        <w:t>ООО «Фарм-Инвест» (далее - Заявитель, Общество): Батуриной Елены Владимировны,</w:t>
      </w:r>
    </w:p>
    <w:p>
      <w:pPr>
        <w:pStyle w:val="Style7"/>
        <w:widowControl w:val="0"/>
        <w:keepNext w:val="0"/>
        <w:keepLines w:val="0"/>
        <w:shd w:val="clear" w:color="auto" w:fill="auto"/>
        <w:bidi w:val="0"/>
        <w:spacing w:before="0" w:after="305" w:line="322" w:lineRule="exact"/>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7"/>
        <w:widowControl w:val="0"/>
        <w:keepNext w:val="0"/>
        <w:keepLines w:val="0"/>
        <w:shd w:val="clear" w:color="auto" w:fill="auto"/>
        <w:bidi w:val="0"/>
        <w:jc w:val="center"/>
        <w:spacing w:before="0" w:after="316" w:line="240" w:lineRule="exact"/>
        <w:ind w:left="0" w:right="0" w:firstLine="0"/>
      </w:pPr>
      <w:r>
        <w:rPr>
          <w:lang w:val="ru-RU" w:eastAsia="ru-RU" w:bidi="ru-RU"/>
          <w:sz w:val="24"/>
          <w:szCs w:val="24"/>
          <w:w w:val="100"/>
          <w:color w:val="000000"/>
          <w:position w:val="0"/>
        </w:rPr>
        <w:t>УСТАНОВИЛА:</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 9994 от 27.10.2017 г.) на действия аукционной комиссии при проведении электронного аукциона на право заключения контрактов на поставку дезинфицирующих средств (далее - аукцион).</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Извещение о проведении электронного аукциона, аукционная документация размещены Заказчиком 10.10.2017 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7"/>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159 450,00 рублей.</w:t>
      </w:r>
    </w:p>
    <w:p>
      <w:pPr>
        <w:pStyle w:val="Style7"/>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Источник финансирования - Средства бюджетных учреждений.</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Заявитель обжалует отклонение первой части заявки на основании п . 1 ч. 4 ст. 67 Закона о контрактной системе. Подробно позиция Заявителя изложена в жалобе, файл с которой размещен на официальном сайте.</w:t>
      </w:r>
    </w:p>
    <w:p>
      <w:pPr>
        <w:pStyle w:val="Style7"/>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На момент рассмотрения жалобы контракт Заказчиком не заключен.</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Рассмотрев представленные документы, Комиссия пришла к следующим выводам.</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w:t>
      </w:r>
    </w:p>
    <w:p>
      <w:pPr>
        <w:pStyle w:val="Style13"/>
        <w:widowControl w:val="0"/>
        <w:keepNext/>
        <w:keepLines/>
        <w:shd w:val="clear" w:color="auto" w:fill="auto"/>
        <w:bidi w:val="0"/>
        <w:jc w:val="left"/>
        <w:spacing w:before="0" w:after="7" w:line="240" w:lineRule="exact"/>
        <w:ind w:left="20" w:right="0" w:firstLine="0"/>
      </w:pPr>
      <w:bookmarkStart w:id="2" w:name="bookmark2"/>
      <w:r>
        <w:rPr>
          <w:lang w:val="ru-RU" w:eastAsia="ru-RU" w:bidi="ru-RU"/>
          <w:sz w:val="24"/>
          <w:szCs w:val="24"/>
          <w:w w:val="100"/>
          <w:spacing w:val="0"/>
          <w:color w:val="000000"/>
          <w:position w:val="0"/>
        </w:rPr>
        <w:t>Закона о контрактной системе (ч. 1 ст. 2 Закона о контрактной системе).</w:t>
      </w:r>
      <w:bookmarkEnd w:id="2"/>
    </w:p>
    <w:p>
      <w:pPr>
        <w:pStyle w:val="Style7"/>
        <w:widowControl w:val="0"/>
        <w:keepNext w:val="0"/>
        <w:keepLines w:val="0"/>
        <w:shd w:val="clear" w:color="auto" w:fill="auto"/>
        <w:bidi w:val="0"/>
        <w:spacing w:before="0" w:after="0" w:line="322" w:lineRule="exact"/>
        <w:ind w:left="20" w:right="20" w:firstLine="700"/>
      </w:pPr>
      <w:r>
        <w:rPr>
          <w:lang w:val="ru-RU" w:eastAsia="ru-RU" w:bidi="ru-RU"/>
          <w:sz w:val="24"/>
          <w:szCs w:val="24"/>
          <w:w w:val="10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Частью 2 ст. 66 Закона о контрактной системе определено, что заявка на участие в электронном аукционе состоит из двух частей.</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силу пп. б п. 1 ч. 3 рассматриваемой статьи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Аналогичные требования установлены Заказчиком в п. 9.1 аукционной документации.</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Частью 6 рассматриваемой статьи определено, что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 4 настоящей статьи.</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7"/>
        <w:numPr>
          <w:ilvl w:val="0"/>
          <w:numId w:val="1"/>
        </w:numPr>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 непредоставления информации, предусмотренной ч. 3 ст. 66 Закона о контрактной системе, или предоставления недостоверной информации;</w:t>
      </w:r>
    </w:p>
    <w:p>
      <w:pPr>
        <w:pStyle w:val="Style7"/>
        <w:numPr>
          <w:ilvl w:val="0"/>
          <w:numId w:val="1"/>
        </w:numPr>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 несоответствия информации, предусмотренной ч. 3 ст. 66 Закона о контрактной системе, требованиям документации о таком аукционе.</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Частью 5 вышеуказанной статьи установлено, что отказ в допуске к участию в электронном аукционе по основаниям, не предусмотренным частью 4</w:t>
      </w:r>
    </w:p>
    <w:p>
      <w:pPr>
        <w:pStyle w:val="Style13"/>
        <w:widowControl w:val="0"/>
        <w:keepNext/>
        <w:keepLines/>
        <w:shd w:val="clear" w:color="auto" w:fill="auto"/>
        <w:bidi w:val="0"/>
        <w:jc w:val="both"/>
        <w:spacing w:before="0" w:after="21" w:line="240" w:lineRule="exact"/>
        <w:ind w:left="20" w:right="0" w:firstLine="0"/>
      </w:pPr>
      <w:bookmarkStart w:id="3" w:name="bookmark3"/>
      <w:r>
        <w:rPr>
          <w:lang w:val="ru-RU" w:eastAsia="ru-RU" w:bidi="ru-RU"/>
          <w:sz w:val="24"/>
          <w:szCs w:val="24"/>
          <w:w w:val="100"/>
          <w:spacing w:val="0"/>
          <w:color w:val="000000"/>
          <w:position w:val="0"/>
        </w:rPr>
        <w:t>настоящей статьи, не допускается.</w:t>
      </w:r>
      <w:bookmarkEnd w:id="3"/>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Из протокола рассмотрения заявок на участие в электронном аукционе от 23.10.2017 №0345300032417000200-1 усматривается, что Заявителю отказано в допуске к участию в аукционе на основании п. 1 ч. 4 ст. 67 Закона о контрактной системе.</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Техническим заданием установлены требования к товарам, необходимым к поставке.</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Так, например, по позиции № 2 «Сайдекс ОПА» Заказчиком установлено требование «Совместимость с оборудованием, имеющимся в клинике: наличие возможности использования средства в автоматизированных системах для очистки и дезинфекции гибких эндоскопов, подтвержденная инструкцией производителей аппаратов, имеющихся в клинике. Совместимость раствора с моечно-дезинфициующим аппаратом </w:t>
      </w:r>
      <w:r>
        <w:rPr>
          <w:lang w:val="en-US" w:eastAsia="en-US" w:bidi="en-US"/>
          <w:sz w:val="24"/>
          <w:szCs w:val="24"/>
          <w:w w:val="100"/>
          <w:color w:val="000000"/>
          <w:position w:val="0"/>
        </w:rPr>
        <w:t xml:space="preserve">Endoclnes NSX </w:t>
      </w:r>
      <w:r>
        <w:rPr>
          <w:lang w:val="ru-RU" w:eastAsia="ru-RU" w:bidi="ru-RU"/>
          <w:sz w:val="24"/>
          <w:szCs w:val="24"/>
          <w:w w:val="100"/>
          <w:color w:val="000000"/>
          <w:position w:val="0"/>
        </w:rPr>
        <w:t xml:space="preserve">подтвержденная инструкцией производителя аппаратов. Совместимость с эндоскопами </w:t>
      </w:r>
      <w:r>
        <w:rPr>
          <w:lang w:val="en-US" w:eastAsia="en-US" w:bidi="en-US"/>
          <w:sz w:val="24"/>
          <w:szCs w:val="24"/>
          <w:w w:val="100"/>
          <w:color w:val="000000"/>
          <w:position w:val="0"/>
        </w:rPr>
        <w:t xml:space="preserve">Olympus, Pentax, Fujinon, </w:t>
      </w:r>
      <w:r>
        <w:rPr>
          <w:lang w:val="ru-RU" w:eastAsia="ru-RU" w:bidi="ru-RU"/>
          <w:sz w:val="24"/>
          <w:szCs w:val="24"/>
          <w:w w:val="100"/>
          <w:color w:val="000000"/>
          <w:position w:val="0"/>
        </w:rPr>
        <w:t>подтвержденная письмами совместимости производителями эндоскопов и инструментов к ним согласно СП 3.1.3263-15 (п.7.2) "Профилактика инфекционных заболеваний при эндоскопических вмешательствах"».</w:t>
      </w:r>
    </w:p>
    <w:p>
      <w:pPr>
        <w:pStyle w:val="Style7"/>
        <w:tabs>
          <w:tab w:leader="none" w:pos="1815" w:val="left"/>
        </w:tabs>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Заявителем в первой части заявки предложен аналогичный товар № 2 «Санидекс ОПА» с такими значениями показателя товара: «Совместимость с оборудованием, имеющимся в клинике: наличие возможности использования средства в автоматизированных системах для очистки и дезинфекции гибких эндоскопов, подтвержденная инструкцией производителей аппаратов, имеющихся в клинике. Совместимость раствора с моечно-дезинфицирующим аппаратом </w:t>
      </w:r>
      <w:r>
        <w:rPr>
          <w:lang w:val="en-US" w:eastAsia="en-US" w:bidi="en-US"/>
          <w:sz w:val="24"/>
          <w:szCs w:val="24"/>
          <w:w w:val="100"/>
          <w:color w:val="000000"/>
          <w:position w:val="0"/>
        </w:rPr>
        <w:t xml:space="preserve">Endoclnes NSX </w:t>
      </w:r>
      <w:r>
        <w:rPr>
          <w:lang w:val="ru-RU" w:eastAsia="ru-RU" w:bidi="ru-RU"/>
          <w:sz w:val="24"/>
          <w:szCs w:val="24"/>
          <w:w w:val="100"/>
          <w:color w:val="000000"/>
          <w:position w:val="0"/>
        </w:rPr>
        <w:t xml:space="preserve">подтвержденная инструкцией производителя средства. Совместимость с эндоскопами </w:t>
      </w:r>
      <w:r>
        <w:rPr>
          <w:lang w:val="en-US" w:eastAsia="en-US" w:bidi="en-US"/>
          <w:sz w:val="24"/>
          <w:szCs w:val="24"/>
          <w:w w:val="100"/>
          <w:color w:val="000000"/>
          <w:position w:val="0"/>
        </w:rPr>
        <w:t xml:space="preserve">Olympus, Pentax, Fujinon, </w:t>
      </w:r>
      <w:r>
        <w:rPr>
          <w:lang w:val="ru-RU" w:eastAsia="ru-RU" w:bidi="ru-RU"/>
          <w:sz w:val="24"/>
          <w:szCs w:val="24"/>
          <w:w w:val="100"/>
          <w:color w:val="000000"/>
          <w:position w:val="0"/>
        </w:rPr>
        <w:t>подтвержденная документами производителей эндоскопов и инструментов к ним согласно СП 3.1.3263-15</w:t>
        <w:tab/>
        <w:t>(п.7.2) "Профилактика инфекционных заболеваний при</w:t>
      </w:r>
    </w:p>
    <w:p>
      <w:pPr>
        <w:pStyle w:val="Style7"/>
        <w:widowControl w:val="0"/>
        <w:keepNext w:val="0"/>
        <w:keepLines w:val="0"/>
        <w:shd w:val="clear" w:color="auto" w:fill="auto"/>
        <w:bidi w:val="0"/>
        <w:spacing w:before="0" w:after="0" w:line="317" w:lineRule="exact"/>
        <w:ind w:left="20" w:right="20" w:firstLine="0"/>
      </w:pPr>
      <w:r>
        <w:rPr>
          <w:lang w:val="ru-RU" w:eastAsia="ru-RU" w:bidi="ru-RU"/>
          <w:sz w:val="24"/>
          <w:szCs w:val="24"/>
          <w:w w:val="100"/>
          <w:color w:val="000000"/>
          <w:position w:val="0"/>
        </w:rPr>
        <w:t>эндоскопических вмешательствах".», что, по мнению аукционной комиссии, не соответствует требованиям аукционной документации.</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Как пояснили на заседании представители аукционной комиссии, от участника в первой части заявки требовалась информация о наличии писем производителей эндоскопов и инструментов к ним, подтверждающих совместимость предлагаемого к поставке средства с эндоскопами </w:t>
      </w:r>
      <w:r>
        <w:rPr>
          <w:lang w:val="en-US" w:eastAsia="en-US" w:bidi="en-US"/>
          <w:sz w:val="24"/>
          <w:szCs w:val="24"/>
          <w:w w:val="100"/>
          <w:color w:val="000000"/>
          <w:position w:val="0"/>
        </w:rPr>
        <w:t>Olympus, Pentax, Fujinon.</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Однако, участник в первой части заявки не представил требуемой аукционной документацией информации о наличии писем производителей эндоскопов о совместимости средства с эндоскопами </w:t>
      </w:r>
      <w:r>
        <w:rPr>
          <w:lang w:val="en-US" w:eastAsia="en-US" w:bidi="en-US"/>
          <w:sz w:val="24"/>
          <w:szCs w:val="24"/>
          <w:w w:val="100"/>
          <w:color w:val="000000"/>
          <w:position w:val="0"/>
        </w:rPr>
        <w:t xml:space="preserve">Olympus, Pentax, Fujinon, </w:t>
      </w:r>
      <w:r>
        <w:rPr>
          <w:lang w:val="ru-RU" w:eastAsia="ru-RU" w:bidi="ru-RU"/>
          <w:sz w:val="24"/>
          <w:szCs w:val="24"/>
          <w:w w:val="100"/>
          <w:color w:val="000000"/>
          <w:position w:val="0"/>
        </w:rPr>
        <w:t>и указал, что совместимость предложенного средства подтверждается инструкцией производителя.</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На заседании Комиссии представитель Заявителя доказательств наличия требуемых в аукционной документации писем о совместимости не представил.</w:t>
      </w:r>
    </w:p>
    <w:p>
      <w:pPr>
        <w:pStyle w:val="Style7"/>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Таким образом,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 1 ч. 4 ст. 67 Закона о контрактной системе.</w:t>
      </w:r>
      <w:r>
        <w:br w:type="page"/>
      </w:r>
    </w:p>
    <w:p>
      <w:pPr>
        <w:pStyle w:val="Style7"/>
        <w:widowControl w:val="0"/>
        <w:keepNext w:val="0"/>
        <w:keepLines w:val="0"/>
        <w:shd w:val="clear" w:color="auto" w:fill="auto"/>
        <w:bidi w:val="0"/>
        <w:jc w:val="left"/>
        <w:spacing w:before="0" w:after="321" w:line="341" w:lineRule="exact"/>
        <w:ind w:left="40" w:right="280" w:firstLine="680"/>
      </w:pPr>
      <w:r>
        <w:rPr>
          <w:lang w:val="ru-RU" w:eastAsia="ru-RU" w:bidi="ru-RU"/>
          <w:sz w:val="24"/>
          <w:szCs w:val="24"/>
          <w:w w:val="100"/>
          <w:color w:val="000000"/>
          <w:position w:val="0"/>
        </w:rPr>
        <w:t>На основании изложенного и руководствуясь ч. 8 ст. 106 Закона о контрактной системе, Комиссия</w:t>
      </w:r>
    </w:p>
    <w:p>
      <w:pPr>
        <w:pStyle w:val="Style15"/>
        <w:widowControl w:val="0"/>
        <w:keepNext w:val="0"/>
        <w:keepLines w:val="0"/>
        <w:shd w:val="clear" w:color="auto" w:fill="auto"/>
        <w:bidi w:val="0"/>
        <w:spacing w:before="0" w:after="386" w:line="240" w:lineRule="exact"/>
        <w:ind w:left="0" w:right="360" w:firstLine="0"/>
      </w:pPr>
      <w:r>
        <w:rPr>
          <w:lang w:val="ru-RU" w:eastAsia="ru-RU" w:bidi="ru-RU"/>
          <w:sz w:val="24"/>
          <w:szCs w:val="24"/>
          <w:w w:val="100"/>
          <w:spacing w:val="0"/>
          <w:color w:val="000000"/>
          <w:position w:val="0"/>
        </w:rPr>
        <w:t>РЕШИЛА:</w:t>
      </w:r>
    </w:p>
    <w:p>
      <w:pPr>
        <w:pStyle w:val="Style7"/>
        <w:widowControl w:val="0"/>
        <w:keepNext w:val="0"/>
        <w:keepLines w:val="0"/>
        <w:shd w:val="clear" w:color="auto" w:fill="auto"/>
        <w:bidi w:val="0"/>
        <w:jc w:val="center"/>
        <w:spacing w:before="0" w:after="625" w:line="240" w:lineRule="exact"/>
        <w:ind w:left="260" w:right="0" w:firstLine="0"/>
      </w:pPr>
      <w:r>
        <w:rPr>
          <w:lang w:val="ru-RU" w:eastAsia="ru-RU" w:bidi="ru-RU"/>
          <w:sz w:val="24"/>
          <w:szCs w:val="24"/>
          <w:w w:val="100"/>
          <w:color w:val="000000"/>
          <w:position w:val="0"/>
        </w:rPr>
        <w:t>Признать жалобу ООО «Компания ЕВРО ДЕЗ» необоснованной.</w:t>
      </w:r>
    </w:p>
    <w:p>
      <w:pPr>
        <w:pStyle w:val="Style17"/>
        <w:widowControl w:val="0"/>
        <w:keepNext w:val="0"/>
        <w:keepLines w:val="0"/>
        <w:shd w:val="clear" w:color="auto" w:fill="auto"/>
        <w:bidi w:val="0"/>
        <w:jc w:val="left"/>
        <w:spacing w:before="0" w:after="0"/>
        <w:ind w:left="40" w:right="280"/>
      </w:pPr>
      <w:r>
        <w:rPr>
          <w:lang w:val="ru-RU" w:eastAsia="ru-RU" w:bidi="ru-RU"/>
          <w:w w:val="100"/>
          <w:spacing w:val="0"/>
          <w:color w:val="000000"/>
          <w:position w:val="0"/>
        </w:rPr>
        <w:t xml:space="preserve">Настоящее решение может быть обжаловано в судебном порядке в </w:t>
      </w:r>
      <w:r>
        <w:rPr>
          <w:rStyle w:val="CharStyle19"/>
          <w:i/>
          <w:iCs/>
        </w:rPr>
        <w:t>течение трех месяцев со дня принятия.</w:t>
      </w:r>
    </w:p>
    <w:p>
      <w:pPr>
        <w:pStyle w:val="Style7"/>
        <w:framePr w:h="254" w:vSpace="384" w:wrap="around" w:vAnchor="text" w:hAnchor="margin" w:x="20" w:y="6"/>
        <w:widowControl w:val="0"/>
        <w:keepNext w:val="0"/>
        <w:keepLines w:val="0"/>
        <w:shd w:val="clear" w:color="auto" w:fill="auto"/>
        <w:bidi w:val="0"/>
        <w:jc w:val="left"/>
        <w:spacing w:before="0" w:after="0" w:line="230" w:lineRule="exact"/>
        <w:ind w:left="0" w:right="0" w:firstLine="0"/>
      </w:pPr>
      <w:r>
        <w:rPr>
          <w:rStyle w:val="CharStyle8"/>
          <w:spacing w:val="10"/>
        </w:rPr>
        <w:t>Председатель Комиссии</w:t>
      </w:r>
    </w:p>
    <w:p>
      <w:pPr>
        <w:pStyle w:val="Style7"/>
        <w:numPr>
          <w:ilvl w:val="0"/>
          <w:numId w:val="3"/>
        </w:numPr>
        <w:widowControl w:val="0"/>
        <w:keepNext w:val="0"/>
        <w:keepLines w:val="0"/>
        <w:shd w:val="clear" w:color="auto" w:fill="auto"/>
        <w:bidi w:val="0"/>
        <w:jc w:val="left"/>
        <w:spacing w:before="0" w:after="0" w:line="965" w:lineRule="exact"/>
        <w:ind w:left="4400" w:right="0" w:firstLine="0"/>
      </w:pPr>
      <w:r>
        <w:rPr>
          <w:lang w:val="ru-RU" w:eastAsia="ru-RU" w:bidi="ru-RU"/>
          <w:sz w:val="24"/>
          <w:szCs w:val="24"/>
          <w:w w:val="100"/>
          <w:color w:val="000000"/>
          <w:position w:val="0"/>
        </w:rPr>
        <w:t>А. Журавлев</w:t>
      </w:r>
    </w:p>
    <w:p>
      <w:pPr>
        <w:pStyle w:val="Style7"/>
        <w:framePr w:h="230" w:wrap="around" w:vAnchor="text" w:hAnchor="margin" w:x="20" w:y="4"/>
        <w:widowControl w:val="0"/>
        <w:keepNext w:val="0"/>
        <w:keepLines w:val="0"/>
        <w:shd w:val="clear" w:color="auto" w:fill="auto"/>
        <w:bidi w:val="0"/>
        <w:jc w:val="left"/>
        <w:spacing w:before="0" w:after="0" w:line="230" w:lineRule="exact"/>
        <w:ind w:left="0" w:right="0" w:firstLine="0"/>
      </w:pPr>
      <w:r>
        <w:rPr>
          <w:rStyle w:val="CharStyle8"/>
          <w:spacing w:val="10"/>
        </w:rPr>
        <w:t>Члены Комиссии</w:t>
      </w:r>
    </w:p>
    <w:p>
      <w:pPr>
        <w:pStyle w:val="Style7"/>
        <w:numPr>
          <w:ilvl w:val="0"/>
          <w:numId w:val="3"/>
        </w:numPr>
        <w:widowControl w:val="0"/>
        <w:keepNext w:val="0"/>
        <w:keepLines w:val="0"/>
        <w:shd w:val="clear" w:color="auto" w:fill="auto"/>
        <w:bidi w:val="0"/>
        <w:spacing w:before="0" w:after="0" w:line="965" w:lineRule="exact"/>
        <w:ind w:left="40" w:right="0" w:firstLine="0"/>
      </w:pPr>
      <w:r>
        <w:rPr>
          <w:lang w:val="ru-RU" w:eastAsia="ru-RU" w:bidi="ru-RU"/>
          <w:sz w:val="24"/>
          <w:szCs w:val="24"/>
          <w:w w:val="100"/>
          <w:color w:val="000000"/>
          <w:position w:val="0"/>
        </w:rPr>
        <w:t>Д. Хрущ А.Д. Пашедко</w:t>
      </w:r>
    </w:p>
    <w:sectPr>
      <w:footnotePr>
        <w:pos w:val="pageBottom"/>
        <w:numFmt w:val="decimal"/>
        <w:numRestart w:val="continuous"/>
      </w:footnotePr>
      <w:type w:val="continuous"/>
      <w:pgSz w:w="11906" w:h="16838"/>
      <w:pgMar w:top="1088" w:left="794" w:right="794" w:bottom="694" w:header="0" w:footer="3" w:gutter="14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upperLetter"/>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8"/>
      <w:szCs w:val="18"/>
      <w:rFonts w:ascii="Times New Roman" w:eastAsia="Times New Roman" w:hAnsi="Times New Roman" w:cs="Times New Roman"/>
      <w:spacing w:val="16"/>
    </w:rPr>
  </w:style>
  <w:style w:type="character" w:customStyle="1" w:styleId="CharStyle6">
    <w:name w:val="Основной текст (3) Exact"/>
    <w:basedOn w:val="DefaultParagraphFont"/>
    <w:link w:val="Style5"/>
    <w:rPr>
      <w:b w:val="0"/>
      <w:bCs w:val="0"/>
      <w:i w:val="0"/>
      <w:iCs w:val="0"/>
      <w:u w:val="none"/>
      <w:strike w:val="0"/>
      <w:smallCaps w:val="0"/>
      <w:sz w:val="22"/>
      <w:szCs w:val="22"/>
      <w:rFonts w:ascii="Times New Roman" w:eastAsia="Times New Roman" w:hAnsi="Times New Roman" w:cs="Times New Roman"/>
      <w:spacing w:val="12"/>
    </w:rPr>
  </w:style>
  <w:style w:type="character" w:customStyle="1" w:styleId="CharStyle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9">
    <w:name w:val="Основной текст_"/>
    <w:basedOn w:val="DefaultParagraphFont"/>
    <w:link w:val="Style7"/>
    <w:rPr>
      <w:b w:val="0"/>
      <w:bCs w:val="0"/>
      <w:i w:val="0"/>
      <w:iCs w:val="0"/>
      <w:u w:val="none"/>
      <w:strike w:val="0"/>
      <w:smallCaps w:val="0"/>
      <w:rFonts w:ascii="Times New Roman" w:eastAsia="Times New Roman" w:hAnsi="Times New Roman" w:cs="Times New Roman"/>
      <w:spacing w:val="10"/>
    </w:rPr>
  </w:style>
  <w:style w:type="character" w:customStyle="1" w:styleId="CharStyle10">
    <w:name w:val="Основной текст + Интервал 0 pt"/>
    <w:basedOn w:val="CharStyle9"/>
    <w:rPr>
      <w:lang w:val="ru-RU" w:eastAsia="ru-RU" w:bidi="ru-RU"/>
      <w:sz w:val="24"/>
      <w:szCs w:val="24"/>
      <w:w w:val="100"/>
      <w:spacing w:val="0"/>
      <w:color w:val="000000"/>
      <w:position w:val="0"/>
    </w:rPr>
  </w:style>
  <w:style w:type="character" w:customStyle="1" w:styleId="CharStyle12">
    <w:name w:val="Заголовок №1_"/>
    <w:basedOn w:val="DefaultParagraphFont"/>
    <w:link w:val="Style11"/>
    <w:rPr>
      <w:b w:val="0"/>
      <w:bCs w:val="0"/>
      <w:i w:val="0"/>
      <w:iCs w:val="0"/>
      <w:u w:val="none"/>
      <w:strike w:val="0"/>
      <w:smallCaps w:val="0"/>
      <w:sz w:val="30"/>
      <w:szCs w:val="30"/>
      <w:rFonts w:ascii="Times New Roman" w:eastAsia="Times New Roman" w:hAnsi="Times New Roman" w:cs="Times New Roman"/>
      <w:spacing w:val="70"/>
    </w:rPr>
  </w:style>
  <w:style w:type="character" w:customStyle="1" w:styleId="CharStyle14">
    <w:name w:val="Заголовок №2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4)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5)_"/>
    <w:basedOn w:val="DefaultParagraphFont"/>
    <w:link w:val="Style17"/>
    <w:rPr>
      <w:b w:val="0"/>
      <w:bCs w:val="0"/>
      <w:i/>
      <w:iCs/>
      <w:u w:val="none"/>
      <w:strike w:val="0"/>
      <w:smallCaps w:val="0"/>
      <w:sz w:val="26"/>
      <w:szCs w:val="26"/>
      <w:rFonts w:ascii="Times New Roman" w:eastAsia="Times New Roman" w:hAnsi="Times New Roman" w:cs="Times New Roman"/>
    </w:rPr>
  </w:style>
  <w:style w:type="character" w:customStyle="1" w:styleId="CharStyle19">
    <w:name w:val="Основной текст (5) + 12 pt"/>
    <w:basedOn w:val="CharStyle18"/>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21" w:lineRule="exact"/>
    </w:pPr>
    <w:rPr>
      <w:b w:val="0"/>
      <w:bCs w:val="0"/>
      <w:i w:val="0"/>
      <w:iCs w:val="0"/>
      <w:u w:val="none"/>
      <w:strike w:val="0"/>
      <w:smallCaps w:val="0"/>
      <w:sz w:val="18"/>
      <w:szCs w:val="18"/>
      <w:rFonts w:ascii="Times New Roman" w:eastAsia="Times New Roman" w:hAnsi="Times New Roman" w:cs="Times New Roman"/>
      <w:spacing w:val="16"/>
    </w:rPr>
  </w:style>
  <w:style w:type="paragraph" w:customStyle="1" w:styleId="Style5">
    <w:name w:val="Основной текст (3)"/>
    <w:basedOn w:val="Normal"/>
    <w:link w:val="CharStyle6"/>
    <w:pPr>
      <w:widowControl w:val="0"/>
      <w:shd w:val="clear" w:color="auto" w:fill="FFFFFF"/>
      <w:spacing w:before="180" w:line="307" w:lineRule="exact"/>
      <w:ind w:firstLine="1440"/>
    </w:pPr>
    <w:rPr>
      <w:b w:val="0"/>
      <w:bCs w:val="0"/>
      <w:i w:val="0"/>
      <w:iCs w:val="0"/>
      <w:u w:val="none"/>
      <w:strike w:val="0"/>
      <w:smallCaps w:val="0"/>
      <w:sz w:val="22"/>
      <w:szCs w:val="22"/>
      <w:rFonts w:ascii="Times New Roman" w:eastAsia="Times New Roman" w:hAnsi="Times New Roman" w:cs="Times New Roman"/>
      <w:spacing w:val="12"/>
    </w:rPr>
  </w:style>
  <w:style w:type="paragraph" w:customStyle="1" w:styleId="Style7">
    <w:name w:val="Основной текст"/>
    <w:basedOn w:val="Normal"/>
    <w:link w:val="CharStyle9"/>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1">
    <w:name w:val="Заголовок №1"/>
    <w:basedOn w:val="Normal"/>
    <w:link w:val="CharStyle12"/>
    <w:pPr>
      <w:widowControl w:val="0"/>
      <w:shd w:val="clear" w:color="auto" w:fill="FFFFFF"/>
      <w:jc w:val="right"/>
      <w:outlineLvl w:val="0"/>
      <w:spacing w:before="360" w:line="0" w:lineRule="exact"/>
    </w:pPr>
    <w:rPr>
      <w:b w:val="0"/>
      <w:bCs w:val="0"/>
      <w:i w:val="0"/>
      <w:iCs w:val="0"/>
      <w:u w:val="none"/>
      <w:strike w:val="0"/>
      <w:smallCaps w:val="0"/>
      <w:sz w:val="30"/>
      <w:szCs w:val="30"/>
      <w:rFonts w:ascii="Times New Roman" w:eastAsia="Times New Roman" w:hAnsi="Times New Roman" w:cs="Times New Roman"/>
      <w:spacing w:val="70"/>
    </w:rPr>
  </w:style>
  <w:style w:type="paragraph" w:customStyle="1" w:styleId="Style13">
    <w:name w:val="Заголовок №2"/>
    <w:basedOn w:val="Normal"/>
    <w:link w:val="CharStyle14"/>
    <w:pPr>
      <w:widowControl w:val="0"/>
      <w:shd w:val="clear" w:color="auto" w:fill="FFFFFF"/>
      <w:outlineLvl w:val="1"/>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240"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720" w:after="240" w:line="317" w:lineRule="exact"/>
      <w:ind w:firstLine="68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