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Оператор электронной площадки:</w:t>
      </w:r>
    </w:p>
    <w:p>
      <w:pPr>
        <w:pStyle w:val="Style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ЗАО «Сбербанк - АСТ»</w:t>
      </w:r>
    </w:p>
    <w:p>
      <w:pPr>
        <w:pStyle w:val="Style5"/>
        <w:widowControl w:val="0"/>
        <w:keepNext w:val="0"/>
        <w:keepLines w:val="0"/>
        <w:shd w:val="clear" w:color="auto" w:fill="auto"/>
        <w:bidi w:val="0"/>
        <w:spacing w:before="0" w:after="0"/>
        <w:ind w:left="40" w:right="200" w:firstLine="0"/>
        <w:sectPr>
          <w:footnotePr>
            <w:pos w:val="pageBottom"/>
            <w:numFmt w:val="decimal"/>
            <w:numRestart w:val="continuous"/>
          </w:footnotePr>
          <w:type w:val="continuous"/>
          <w:pgSz w:w="11906" w:h="16838"/>
          <w:pgMar w:top="719" w:left="5887" w:right="1023" w:bottom="640" w:header="0" w:footer="3" w:gutter="0"/>
          <w:rtlGutter w:val="0"/>
          <w:cols w:space="720"/>
          <w:noEndnote/>
          <w:docGrid w:linePitch="360"/>
        </w:sectPr>
      </w:pPr>
      <w:r>
        <w:rPr>
          <w:lang w:val="ru-RU" w:eastAsia="ru-RU" w:bidi="ru-RU"/>
          <w:w w:val="100"/>
          <w:spacing w:val="0"/>
          <w:color w:val="000000"/>
          <w:position w:val="0"/>
        </w:rPr>
        <w:t>119435, г. Москва, Большой Саввинский переулок, дом 12, строение 9</w:t>
      </w:r>
    </w:p>
    <w:p>
      <w:pPr>
        <w:widowControl w:val="0"/>
        <w:spacing w:line="88"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77"/>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Федеральной антимонопольной</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службы</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по Ханты-Мансийскому</w:t>
      </w:r>
    </w:p>
    <w:p>
      <w:pPr>
        <w:pStyle w:val="Style7"/>
        <w:widowControl w:val="0"/>
        <w:keepNext w:val="0"/>
        <w:keepLines w:val="0"/>
        <w:shd w:val="clear" w:color="auto" w:fill="auto"/>
        <w:bidi w:val="0"/>
        <w:spacing w:before="0" w:after="126" w:line="230" w:lineRule="exact"/>
        <w:ind w:left="0" w:right="0" w:firstLine="0"/>
      </w:pPr>
      <w:r>
        <w:rPr>
          <w:lang w:val="ru-RU" w:eastAsia="ru-RU" w:bidi="ru-RU"/>
          <w:w w:val="100"/>
          <w:spacing w:val="0"/>
          <w:color w:val="000000"/>
          <w:position w:val="0"/>
        </w:rPr>
        <w:t>автономному округу - Югре</w:t>
      </w:r>
    </w:p>
    <w:p>
      <w:pPr>
        <w:pStyle w:val="Style5"/>
        <w:widowControl w:val="0"/>
        <w:keepNext w:val="0"/>
        <w:keepLines w:val="0"/>
        <w:shd w:val="clear" w:color="auto" w:fill="auto"/>
        <w:bidi w:val="0"/>
        <w:jc w:val="center"/>
        <w:spacing w:before="0" w:after="10" w:line="190" w:lineRule="exact"/>
        <w:ind w:left="0" w:right="0" w:firstLine="0"/>
      </w:pPr>
      <w:r>
        <w:rPr>
          <w:lang w:val="ru-RU" w:eastAsia="ru-RU" w:bidi="ru-RU"/>
          <w:w w:val="100"/>
          <w:spacing w:val="0"/>
          <w:color w:val="000000"/>
          <w:position w:val="0"/>
        </w:rPr>
        <w:t>ул. Мира, 27, г. Ханты-Мансийск, 628002</w:t>
      </w:r>
    </w:p>
    <w:p>
      <w:pPr>
        <w:pStyle w:val="Style5"/>
        <w:widowControl w:val="0"/>
        <w:keepNext w:val="0"/>
        <w:keepLines w:val="0"/>
        <w:shd w:val="clear" w:color="auto" w:fill="auto"/>
        <w:bidi w:val="0"/>
        <w:jc w:val="center"/>
        <w:spacing w:before="0" w:after="14" w:line="190" w:lineRule="exact"/>
        <w:ind w:left="0" w:right="0" w:firstLine="0"/>
      </w:pPr>
      <w:r>
        <w:rPr>
          <w:lang w:val="ru-RU" w:eastAsia="ru-RU" w:bidi="ru-RU"/>
          <w:w w:val="100"/>
          <w:spacing w:val="0"/>
          <w:color w:val="000000"/>
          <w:position w:val="0"/>
        </w:rPr>
        <w:t>тел/факс (3467) 38-80-81</w:t>
      </w:r>
    </w:p>
    <w:p>
      <w:pPr>
        <w:pStyle w:val="Style5"/>
        <w:widowControl w:val="0"/>
        <w:keepNext w:val="0"/>
        <w:keepLines w:val="0"/>
        <w:shd w:val="clear" w:color="auto" w:fill="auto"/>
        <w:bidi w:val="0"/>
        <w:jc w:val="center"/>
        <w:spacing w:before="0" w:after="0" w:line="190" w:lineRule="exact"/>
        <w:ind w:left="0" w:right="0" w:firstLine="0"/>
      </w:pPr>
      <w:r>
        <w:rPr>
          <w:lang w:val="en-US" w:eastAsia="en-US" w:bidi="en-US"/>
          <w:w w:val="100"/>
          <w:spacing w:val="0"/>
          <w:color w:val="000000"/>
          <w:position w:val="0"/>
        </w:rPr>
        <w:t xml:space="preserve">e-mail: </w:t>
      </w:r>
      <w:r>
        <w:fldChar w:fldCharType="begin"/>
      </w:r>
      <w:r>
        <w:rPr>
          <w:rStyle w:val="CharStyle11"/>
        </w:rPr>
        <w:instrText> HYPERLINK "mailto:to86@fas.gov.ru" </w:instrText>
      </w:r>
      <w:r>
        <w:fldChar w:fldCharType="separate"/>
      </w:r>
      <w:r>
        <w:rPr>
          <w:rStyle w:val="Hyperlink"/>
        </w:rPr>
        <w:t>to86@fas.gov.ru</w:t>
      </w:r>
      <w:r>
        <w:fldChar w:fldCharType="end"/>
      </w:r>
    </w:p>
    <w:p>
      <w:pPr>
        <w:pStyle w:val="Style3"/>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ООО «Перспектива»</w:t>
      </w:r>
    </w:p>
    <w:p>
      <w:pPr>
        <w:pStyle w:val="Style5"/>
        <w:widowControl w:val="0"/>
        <w:keepNext w:val="0"/>
        <w:keepLines w:val="0"/>
        <w:shd w:val="clear" w:color="auto" w:fill="auto"/>
        <w:bidi w:val="0"/>
        <w:jc w:val="left"/>
        <w:spacing w:before="0" w:after="237" w:line="248" w:lineRule="exact"/>
        <w:ind w:left="0" w:right="0" w:firstLine="0"/>
      </w:pPr>
      <w:r>
        <w:rPr>
          <w:lang w:val="ru-RU" w:eastAsia="ru-RU" w:bidi="ru-RU"/>
          <w:w w:val="100"/>
          <w:spacing w:val="0"/>
          <w:color w:val="000000"/>
          <w:position w:val="0"/>
        </w:rPr>
        <w:t>443099, г.Самара, ул.Куйбышева, 79, 64</w:t>
      </w:r>
    </w:p>
    <w:p>
      <w:pPr>
        <w:pStyle w:val="Style3"/>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Муниципальное образование сельское поселение Перегребное</w:t>
      </w:r>
    </w:p>
    <w:p>
      <w:pPr>
        <w:pStyle w:val="Style5"/>
        <w:widowControl w:val="0"/>
        <w:keepNext w:val="0"/>
        <w:keepLines w:val="0"/>
        <w:shd w:val="clear" w:color="auto" w:fill="auto"/>
        <w:bidi w:val="0"/>
        <w:jc w:val="left"/>
        <w:spacing w:before="0" w:after="0" w:line="252" w:lineRule="exact"/>
        <w:ind w:left="0" w:right="0" w:firstLine="0"/>
        <w:sectPr>
          <w:type w:val="continuous"/>
          <w:pgSz w:w="11906" w:h="16838"/>
          <w:pgMar w:top="719" w:left="1459" w:right="1257" w:bottom="640" w:header="0" w:footer="3" w:gutter="0"/>
          <w:rtlGutter w:val="0"/>
          <w:cols w:num="2" w:space="720" w:equalWidth="0">
            <w:col w:w="3892" w:space="590"/>
            <w:col w:w="4709"/>
          </w:cols>
          <w:noEndnote/>
          <w:docGrid w:linePitch="360"/>
        </w:sectPr>
      </w:pPr>
      <w:r>
        <w:rPr>
          <w:lang w:val="ru-RU" w:eastAsia="ru-RU" w:bidi="ru-RU"/>
          <w:w w:val="100"/>
          <w:spacing w:val="0"/>
          <w:color w:val="000000"/>
          <w:position w:val="0"/>
        </w:rPr>
        <w:t>Место нахождения, почтовый адрес: 628109, Ханты-Мансийский автономный округ - Югра, Октябрьский район, с. Перегребное, ул. Советская, д. 3</w:t>
      </w:r>
    </w:p>
    <w:p>
      <w:pPr>
        <w:widowControl w:val="0"/>
        <w:spacing w:line="18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tabs>
          <w:tab w:leader="none" w:pos="1350" w:val="right"/>
          <w:tab w:leader="none" w:pos="1645" w:val="right"/>
          <w:tab w:leader="none" w:pos="2398" w:val="right"/>
        </w:tabs>
        <w:widowControl w:val="0"/>
        <w:keepNext w:val="0"/>
        <w:keepLines w:val="0"/>
        <w:shd w:val="clear" w:color="auto" w:fill="auto"/>
        <w:bidi w:val="0"/>
        <w:spacing w:before="0" w:after="0" w:line="190" w:lineRule="exact"/>
        <w:ind w:left="0" w:right="0" w:firstLine="0"/>
        <w:sectPr>
          <w:type w:val="continuous"/>
          <w:pgSz w:w="11906" w:h="16838"/>
          <w:pgMar w:top="719" w:left="1793" w:right="7434" w:bottom="640" w:header="0" w:footer="3" w:gutter="0"/>
          <w:rtlGutter w:val="0"/>
          <w:cols w:space="720"/>
          <w:noEndnote/>
          <w:docGrid w:linePitch="360"/>
        </w:sectPr>
      </w:pPr>
      <w:r>
        <w:rPr>
          <w:rStyle w:val="CharStyle12"/>
        </w:rPr>
        <w:t>СЯ</w:t>
        <w:tab/>
      </w:r>
      <w:r>
        <w:rPr>
          <w:rStyle w:val="CharStyle11"/>
          <w:lang w:val="ru-RU" w:eastAsia="ru-RU" w:bidi="ru-RU"/>
        </w:rPr>
        <w:t>2017</w:t>
        <w:tab/>
        <w:t>№</w:t>
        <w:tab/>
        <w:t>03/АМ-</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30" w:lineRule="exact"/>
        <w:ind w:left="0" w:right="0" w:firstLine="0"/>
        <w:sectPr>
          <w:type w:val="continuous"/>
          <w:pgSz w:w="11906" w:h="16838"/>
          <w:pgMar w:top="719" w:left="5246" w:right="5152" w:bottom="640"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19" w:wrap="around" w:hAnchor="margin" w:x="7412" w:y="6213"/>
        <w:widowControl w:val="0"/>
        <w:keepNext w:val="0"/>
        <w:keepLines w:val="0"/>
        <w:shd w:val="clear" w:color="auto" w:fill="auto"/>
        <w:bidi w:val="0"/>
        <w:jc w:val="left"/>
        <w:spacing w:before="0" w:after="0" w:line="220" w:lineRule="exact"/>
        <w:ind w:left="100" w:right="0" w:firstLine="0"/>
      </w:pPr>
      <w:r>
        <w:rPr>
          <w:rStyle w:val="CharStyle14"/>
          <w:spacing w:val="0"/>
        </w:rPr>
        <w:t>г.Ханты-Мансийск</w:t>
      </w:r>
    </w:p>
    <w:p>
      <w:pPr>
        <w:pStyle w:val="Style13"/>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Резолютивная часть объявлена 03.11.2017</w:t>
      </w:r>
    </w:p>
    <w:p>
      <w:pPr>
        <w:pStyle w:val="Style13"/>
        <w:widowControl w:val="0"/>
        <w:keepNext w:val="0"/>
        <w:keepLines w:val="0"/>
        <w:shd w:val="clear" w:color="auto" w:fill="auto"/>
        <w:bidi w:val="0"/>
        <w:spacing w:before="0" w:after="205" w:line="230" w:lineRule="exact"/>
        <w:ind w:left="20" w:right="0" w:firstLine="0"/>
      </w:pPr>
      <w:r>
        <w:rPr>
          <w:lang w:val="ru-RU" w:eastAsia="ru-RU" w:bidi="ru-RU"/>
          <w:w w:val="100"/>
          <w:spacing w:val="0"/>
          <w:color w:val="000000"/>
          <w:position w:val="0"/>
        </w:rPr>
        <w:t>Изготовлено в полном объеме 07.11.2017</w:t>
      </w:r>
    </w:p>
    <w:p>
      <w:pPr>
        <w:pStyle w:val="Style13"/>
        <w:widowControl w:val="0"/>
        <w:keepNext w:val="0"/>
        <w:keepLines w:val="0"/>
        <w:shd w:val="clear" w:color="auto" w:fill="auto"/>
        <w:bidi w:val="0"/>
        <w:spacing w:before="0" w:after="243" w:line="27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13"/>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3"/>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Миронов А.Г. - Заместитель руководителя Управления;</w:t>
      </w:r>
    </w:p>
    <w:p>
      <w:pPr>
        <w:pStyle w:val="Style13"/>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А.Н. Плеханов — Начальник отдела Управления;</w:t>
      </w:r>
    </w:p>
    <w:p>
      <w:pPr>
        <w:pStyle w:val="Style13"/>
        <w:numPr>
          <w:ilvl w:val="0"/>
          <w:numId w:val="1"/>
        </w:numPr>
        <w:widowControl w:val="0"/>
        <w:keepNext w:val="0"/>
        <w:keepLines w:val="0"/>
        <w:shd w:val="clear" w:color="auto" w:fill="auto"/>
        <w:bidi w:val="0"/>
        <w:spacing w:before="0" w:after="275" w:line="274" w:lineRule="exact"/>
        <w:ind w:left="20" w:right="0" w:firstLine="700"/>
      </w:pPr>
      <w:r>
        <w:rPr>
          <w:lang w:val="ru-RU" w:eastAsia="ru-RU" w:bidi="ru-RU"/>
          <w:w w:val="100"/>
          <w:spacing w:val="0"/>
          <w:color w:val="000000"/>
          <w:position w:val="0"/>
        </w:rPr>
        <w:t xml:space="preserve"> Воронцова А.Ю. - Эксперт отдела Управления.</w:t>
      </w:r>
    </w:p>
    <w:p>
      <w:pPr>
        <w:pStyle w:val="Style13"/>
        <w:widowControl w:val="0"/>
        <w:keepNext w:val="0"/>
        <w:keepLines w:val="0"/>
        <w:shd w:val="clear" w:color="auto" w:fill="auto"/>
        <w:bidi w:val="0"/>
        <w:spacing w:before="0" w:after="6" w:line="230" w:lineRule="exact"/>
        <w:ind w:left="20" w:right="0" w:firstLine="700"/>
      </w:pPr>
      <w:r>
        <w:rPr>
          <w:lang w:val="ru-RU" w:eastAsia="ru-RU" w:bidi="ru-RU"/>
          <w:w w:val="100"/>
          <w:spacing w:val="0"/>
          <w:color w:val="000000"/>
          <w:position w:val="0"/>
        </w:rPr>
        <w:t>от Заявителя - не явились, уведомлены надлежащим образом;</w:t>
      </w:r>
    </w:p>
    <w:p>
      <w:pPr>
        <w:pStyle w:val="Style13"/>
        <w:widowControl w:val="0"/>
        <w:keepNext w:val="0"/>
        <w:keepLines w:val="0"/>
        <w:shd w:val="clear" w:color="auto" w:fill="auto"/>
        <w:bidi w:val="0"/>
        <w:spacing w:before="0" w:after="208" w:line="230" w:lineRule="exact"/>
        <w:ind w:left="20" w:right="0" w:firstLine="700"/>
      </w:pPr>
      <w:r>
        <w:rPr>
          <w:lang w:val="ru-RU" w:eastAsia="ru-RU" w:bidi="ru-RU"/>
          <w:w w:val="100"/>
          <w:spacing w:val="0"/>
          <w:color w:val="000000"/>
          <w:position w:val="0"/>
        </w:rPr>
        <w:t>от Заказчика - не явились, уведомлены надлежащим образом;</w:t>
      </w:r>
    </w:p>
    <w:p>
      <w:pPr>
        <w:pStyle w:val="Style13"/>
        <w:tabs>
          <w:tab w:leader="none" w:pos="5823" w:val="right"/>
          <w:tab w:leader="none" w:pos="6082" w:val="left"/>
        </w:tabs>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рассмотрев жалобу ООО «Перспектива» (далее — Заявитель) от 27.10.2017 №1680-ж на действия (бездействие) Заказчика - Администрация сельского поселения Перегребное при проведении электронного аукциона, предметом которого является замена ветхого участка водопровода ж\д. ул. Строителей 25-ул. Шадринская 9-ул.Сибирская-ул.Строителей 27 с. Перегребное (извещение №</w:t>
        <w:tab/>
        <w:t>0187300004817000032)</w:t>
        <w:tab/>
        <w:t>и в результате осуществления</w:t>
      </w:r>
    </w:p>
    <w:p>
      <w:pPr>
        <w:pStyle w:val="Style13"/>
        <w:widowControl w:val="0"/>
        <w:keepNext w:val="0"/>
        <w:keepLines w:val="0"/>
        <w:shd w:val="clear" w:color="auto" w:fill="auto"/>
        <w:bidi w:val="0"/>
        <w:spacing w:before="0" w:after="278" w:line="277" w:lineRule="exact"/>
        <w:ind w:left="20" w:right="20" w:firstLine="0"/>
      </w:pPr>
      <w:r>
        <w:rPr>
          <w:lang w:val="ru-RU" w:eastAsia="ru-RU" w:bidi="ru-RU"/>
          <w:w w:val="100"/>
          <w:spacing w:val="0"/>
          <w:color w:val="000000"/>
          <w:position w:val="0"/>
        </w:rPr>
        <w:t xml:space="preserve">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widowControl w:val="0"/>
        <w:keepNext w:val="0"/>
        <w:keepLines w:val="0"/>
        <w:shd w:val="clear" w:color="auto" w:fill="auto"/>
        <w:bidi w:val="0"/>
        <w:jc w:val="left"/>
        <w:spacing w:before="0" w:after="208" w:line="230" w:lineRule="exact"/>
        <w:ind w:left="456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Заявителя на действия Заказчика и Уполномоченного органа при проведении электронного аукциона.</w:t>
      </w:r>
    </w:p>
    <w:p>
      <w:pPr>
        <w:pStyle w:val="Style13"/>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По мнению Заявителя его права и интересы нарушены действиями Заказчика, разместившего и сформировавшего аукционную документацию с нарушением требований</w:t>
      </w:r>
      <w:r>
        <w:br w:type="page"/>
      </w:r>
    </w:p>
    <w:p>
      <w:pPr>
        <w:pStyle w:val="Style13"/>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Закона о контрактной системе, а именно:</w:t>
      </w:r>
    </w:p>
    <w:p>
      <w:pPr>
        <w:pStyle w:val="Style13"/>
        <w:numPr>
          <w:ilvl w:val="0"/>
          <w:numId w:val="3"/>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Заказчик установил срок действия банковской гарантии в нарушении части 3 статьи 96 Закона о контрактной системе.</w:t>
      </w:r>
    </w:p>
    <w:p>
      <w:pPr>
        <w:pStyle w:val="Style13"/>
        <w:numPr>
          <w:ilvl w:val="0"/>
          <w:numId w:val="3"/>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Заказчик пренебрегает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и нарушает </w:t>
      </w:r>
      <w:r>
        <w:rPr>
          <w:rStyle w:val="CharStyle24"/>
          <w:lang w:val="ru-RU" w:eastAsia="ru-RU" w:bidi="ru-RU"/>
        </w:rPr>
        <w:t>статью 34</w:t>
      </w:r>
      <w:r>
        <w:rPr>
          <w:lang w:val="ru-RU" w:eastAsia="ru-RU" w:bidi="ru-RU"/>
          <w:w w:val="100"/>
          <w:spacing w:val="0"/>
          <w:color w:val="000000"/>
          <w:position w:val="0"/>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замена ветхого участка водопровода ж\д. ул. Строителей 25-ул. Шадринская 9-ул.Сибирская-ул.Строителей 27 с. Перегребное (извещение № 0187300004817000032) размещены на официальном сайте единой информационной системы 12.10.2017.</w:t>
      </w:r>
    </w:p>
    <w:p>
      <w:pPr>
        <w:pStyle w:val="Style13"/>
        <w:numPr>
          <w:ilvl w:val="0"/>
          <w:numId w:val="5"/>
        </w:numPr>
        <w:tabs>
          <w:tab w:leader="none" w:pos="1040" w:val="left"/>
        </w:tabs>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По первому доводу Заявителя Комиссия Управления отмечает, что заказчик обязан разместить извещение об осуществлении закупки в единой информационной системе, если иное не предусмотрено Законом о контрактной системе. При этом в извещении об осуществлении закупки должна содержаться, если иное не предусмотрено названным Законом, следующая информация: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Закона о контрактной системе (пункт 8 статьи 42 Закона о контрактной системе).</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Согласно пункту 8 части 1 статьи 64 Закона о контрактной системе, документация об электронном аукционе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соответствии с частью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Таким образом, банковская гарантия, которая выдается в качестве обеспечения исполнения обязательств по контракту, должна соответствовать требованиям, предусмотренным в статье 45 Закона о контрактной системе.</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Пунктом 7.4 проекта контракта установлено, что срок действия банковской гарантии должен превышать срок выполнения работ по контракту не менее чем на 90 (девяносто) календарных дней.</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Дополнительные требования к банковской гарантии устанавливаются Правительством Российской Федерации (часть 8.2 статьи 45 Закона о контрактной системе). В настоящее время они утверждены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и не содержат каких-либо дополнительных ограниченной срока действия банковской гарантии.</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Согласно пункту 1 статьи 329 Гражданского кодекса Российской Федерации (далее - Гражданский кодекс) исполнение обязательств может обеспечиваться неустойкой, залогом, удержанием имущества должника, поручительством, банковской гарантией, задатком и другими способами, предусмотренными законом или договором.</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Статья 368 Гражданского кодекса установила, что в силу банковской гарантии банк, иное кредитное учреждение (гарант) выдают по просьбе другого лица (принципала) письменное обязательство уплатить третьему лицу (бенефициару) в соответствии с условиями даваемого гарантом обязательства денежную сумму по представлении бенефициаром письменного требования об уплате.</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Таким образом, Законом о контрактной системе предусмотрен институт банковской гарантии как один из видов обеспечения обязательств по государственным контрактам. При этом данный Закон устанавливает обязательное условие банковской гарантии - превышение срока действия банковской гарантии над сроком контракта минимум на один месяц. Вместе с тем, максимального предела действия банковской гарантии законодателем не установлено, поскольку, такое обеспечение направлено на защиту государственных заказчиков от действий недобросовестных участников размещения заказов и позволяет сократить риски, связанные с неисполнением контрактов.</w:t>
      </w:r>
    </w:p>
    <w:p>
      <w:pPr>
        <w:pStyle w:val="Style1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Учитывая, что законодательство о контрактной системе не содержит ограничений по установлению максимального срока действия банковской гарантии после окончания срока действия контракта, Комиссия Управления приходит к выводу, что нарушения Закона о контрактной системе в действиях Заказчика и Уполномоченного органа отсутствуют.</w:t>
      </w:r>
    </w:p>
    <w:p>
      <w:pPr>
        <w:pStyle w:val="Style13"/>
        <w:widowControl w:val="0"/>
        <w:keepNext w:val="0"/>
        <w:keepLines w:val="0"/>
        <w:shd w:val="clear" w:color="auto" w:fill="auto"/>
        <w:bidi w:val="0"/>
        <w:spacing w:before="0" w:after="240" w:line="274" w:lineRule="exact"/>
        <w:ind w:left="40" w:right="40" w:firstLine="700"/>
      </w:pPr>
      <w:r>
        <w:rPr>
          <w:lang w:val="ru-RU" w:eastAsia="ru-RU" w:bidi="ru-RU"/>
          <w:w w:val="100"/>
          <w:spacing w:val="0"/>
          <w:color w:val="000000"/>
          <w:position w:val="0"/>
        </w:rPr>
        <w:t xml:space="preserve">Данные выводы соответствуют правовой позиции, изложенной в определении Судебной коллегии Верховного Суда Российской Федерации от 02.05.2017 </w:t>
      </w:r>
      <w:r>
        <w:rPr>
          <w:lang w:val="en-US" w:eastAsia="en-US" w:bidi="en-US"/>
          <w:w w:val="100"/>
          <w:spacing w:val="0"/>
          <w:color w:val="000000"/>
          <w:position w:val="0"/>
        </w:rPr>
        <w:t xml:space="preserve">N </w:t>
      </w:r>
      <w:r>
        <w:rPr>
          <w:lang w:val="ru-RU" w:eastAsia="ru-RU" w:bidi="ru-RU"/>
          <w:w w:val="100"/>
          <w:spacing w:val="0"/>
          <w:color w:val="000000"/>
          <w:position w:val="0"/>
        </w:rPr>
        <w:t>305-ЭС16- 20341.</w:t>
      </w:r>
    </w:p>
    <w:p>
      <w:pPr>
        <w:pStyle w:val="Style13"/>
        <w:numPr>
          <w:ilvl w:val="0"/>
          <w:numId w:val="5"/>
        </w:numPr>
        <w:tabs>
          <w:tab w:leader="none" w:pos="1038" w:val="left"/>
        </w:tabs>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По второму доводу Заявителя Комиссия Управления отмечает следующее.</w:t>
      </w:r>
    </w:p>
    <w:p>
      <w:pPr>
        <w:pStyle w:val="Style13"/>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В пункте 8.3 проекта контракта указано:</w:t>
      </w:r>
    </w:p>
    <w:p>
      <w:pPr>
        <w:pStyle w:val="Style13"/>
        <w:widowControl w:val="0"/>
        <w:keepNext w:val="0"/>
        <w:keepLines w:val="0"/>
        <w:shd w:val="clear" w:color="auto" w:fill="auto"/>
        <w:bidi w:val="0"/>
        <w:spacing w:before="0" w:after="0" w:line="274" w:lineRule="exact"/>
        <w:ind w:left="40" w:right="40" w:firstLine="0"/>
      </w:pPr>
      <w:r>
        <w:rPr>
          <w:lang w:val="ru-RU" w:eastAsia="ru-RU" w:bidi="ru-RU"/>
          <w:w w:val="100"/>
          <w:spacing w:val="0"/>
          <w:color w:val="000000"/>
          <w:position w:val="0"/>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 П = (Ц - В) х С (где Ц - цена контракта; 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pPr>
        <w:pStyle w:val="Style13"/>
        <w:widowControl w:val="0"/>
        <w:keepNext w:val="0"/>
        <w:keepLines w:val="0"/>
        <w:shd w:val="clear" w:color="auto" w:fill="auto"/>
        <w:bidi w:val="0"/>
        <w:spacing w:before="0" w:after="0" w:line="281" w:lineRule="exact"/>
        <w:ind w:left="40" w:right="40" w:firstLine="460"/>
      </w:pPr>
      <w:r>
        <w:rPr>
          <w:lang w:val="ru-RU" w:eastAsia="ru-RU" w:bidi="ru-RU"/>
          <w:w w:val="100"/>
          <w:spacing w:val="0"/>
          <w:color w:val="000000"/>
          <w:position w:val="0"/>
        </w:rPr>
        <w:t>1. Размер ставки определяется по формуле С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pPr>
        <w:pStyle w:val="Style13"/>
        <w:numPr>
          <w:ilvl w:val="0"/>
          <w:numId w:val="7"/>
        </w:numPr>
        <w:widowControl w:val="0"/>
        <w:keepNext w:val="0"/>
        <w:keepLines w:val="0"/>
        <w:shd w:val="clear" w:color="auto" w:fill="auto"/>
        <w:bidi w:val="0"/>
        <w:spacing w:before="0" w:after="0" w:line="277" w:lineRule="exact"/>
        <w:ind w:left="40" w:right="40" w:firstLine="460"/>
      </w:pPr>
      <w:r>
        <w:rPr>
          <w:lang w:val="ru-RU" w:eastAsia="ru-RU" w:bidi="ru-RU"/>
          <w:w w:val="100"/>
          <w:spacing w:val="0"/>
          <w:color w:val="000000"/>
          <w:position w:val="0"/>
        </w:rPr>
        <w:t xml:space="preserve"> Коэффициент К определяется по формуле К =ДП/ДК х 100% (где ДП - количество дней просрочки; ДК - срок исполнения обязательства по контракту (количество дней).</w:t>
      </w:r>
    </w:p>
    <w:p>
      <w:pPr>
        <w:pStyle w:val="Style13"/>
        <w:numPr>
          <w:ilvl w:val="0"/>
          <w:numId w:val="7"/>
        </w:numPr>
        <w:tabs>
          <w:tab w:leader="none" w:pos="1392" w:val="left"/>
          <w:tab w:leader="none" w:pos="1691" w:val="left"/>
          <w:tab w:leader="none" w:pos="4125" w:val="right"/>
          <w:tab w:leader="none" w:pos="4780" w:val="right"/>
          <w:tab w:leader="none" w:pos="4956" w:val="left"/>
          <w:tab w:leader="none" w:pos="6918" w:val="center"/>
          <w:tab w:leader="none" w:pos="9694" w:val="right"/>
        </w:tabs>
        <w:widowControl w:val="0"/>
        <w:keepNext w:val="0"/>
        <w:keepLines w:val="0"/>
        <w:shd w:val="clear" w:color="auto" w:fill="auto"/>
        <w:bidi w:val="0"/>
        <w:spacing w:before="0" w:after="0" w:line="277" w:lineRule="exact"/>
        <w:ind w:left="40" w:right="40" w:firstLine="460"/>
      </w:pPr>
      <w:r>
        <w:rPr>
          <w:lang w:val="ru-RU" w:eastAsia="ru-RU" w:bidi="ru-RU"/>
          <w:w w:val="100"/>
          <w:spacing w:val="0"/>
          <w:color w:val="000000"/>
          <w:position w:val="0"/>
        </w:rPr>
        <w:t xml:space="preserve"> При К, равном 0-50 процентам, размер ставки определяется за каждый день просрочки</w:t>
        <w:tab/>
        <w:t>и</w:t>
        <w:tab/>
        <w:t>принимается</w:t>
        <w:tab/>
        <w:t>равным</w:t>
        <w:tab/>
        <w:t>0,01</w:t>
        <w:tab/>
        <w:t>ставки</w:t>
        <w:tab/>
        <w:t>рефинансирования,</w:t>
        <w:tab/>
        <w:t>установленной</w:t>
      </w:r>
    </w:p>
    <w:p>
      <w:pPr>
        <w:pStyle w:val="Style13"/>
        <w:widowControl w:val="0"/>
        <w:keepNext w:val="0"/>
        <w:keepLines w:val="0"/>
        <w:shd w:val="clear" w:color="auto" w:fill="auto"/>
        <w:bidi w:val="0"/>
        <w:jc w:val="left"/>
        <w:spacing w:before="0" w:after="0" w:line="277" w:lineRule="exact"/>
        <w:ind w:left="40" w:right="0" w:firstLine="0"/>
      </w:pPr>
      <w:r>
        <w:rPr>
          <w:lang w:val="ru-RU" w:eastAsia="ru-RU" w:bidi="ru-RU"/>
          <w:w w:val="100"/>
          <w:spacing w:val="0"/>
          <w:color w:val="000000"/>
          <w:position w:val="0"/>
        </w:rPr>
        <w:t>Центральным банком Российской Федерации на дату уплаты пени.</w:t>
      </w:r>
    </w:p>
    <w:p>
      <w:pPr>
        <w:pStyle w:val="Style13"/>
        <w:numPr>
          <w:ilvl w:val="0"/>
          <w:numId w:val="7"/>
        </w:numPr>
        <w:tabs>
          <w:tab w:leader="none" w:pos="1392" w:val="left"/>
          <w:tab w:leader="none" w:pos="1691" w:val="left"/>
          <w:tab w:leader="none" w:pos="4125" w:val="right"/>
          <w:tab w:leader="none" w:pos="4780" w:val="right"/>
          <w:tab w:leader="none" w:pos="4956" w:val="left"/>
          <w:tab w:leader="none" w:pos="6918" w:val="center"/>
          <w:tab w:leader="none" w:pos="9694" w:val="right"/>
        </w:tabs>
        <w:widowControl w:val="0"/>
        <w:keepNext w:val="0"/>
        <w:keepLines w:val="0"/>
        <w:shd w:val="clear" w:color="auto" w:fill="auto"/>
        <w:bidi w:val="0"/>
        <w:spacing w:before="0" w:after="0" w:line="277" w:lineRule="exact"/>
        <w:ind w:left="40" w:right="40" w:firstLine="460"/>
      </w:pPr>
      <w:r>
        <w:rPr>
          <w:lang w:val="ru-RU" w:eastAsia="ru-RU" w:bidi="ru-RU"/>
          <w:w w:val="100"/>
          <w:spacing w:val="0"/>
          <w:color w:val="000000"/>
          <w:position w:val="0"/>
        </w:rPr>
        <w:t xml:space="preserve"> При К, равном 50 - 100 процентам, размер ставки определяется за каждый день просрочки</w:t>
        <w:tab/>
        <w:t>и</w:t>
        <w:tab/>
        <w:t>принимается</w:t>
        <w:tab/>
        <w:t>равным</w:t>
        <w:tab/>
        <w:t>0,02</w:t>
        <w:tab/>
        <w:t>ставки</w:t>
        <w:tab/>
        <w:t>рефинансирования,</w:t>
        <w:tab/>
        <w:t>установленной</w:t>
      </w:r>
    </w:p>
    <w:p>
      <w:pPr>
        <w:pStyle w:val="Style13"/>
        <w:widowControl w:val="0"/>
        <w:keepNext w:val="0"/>
        <w:keepLines w:val="0"/>
        <w:shd w:val="clear" w:color="auto" w:fill="auto"/>
        <w:bidi w:val="0"/>
        <w:jc w:val="left"/>
        <w:spacing w:before="0" w:after="0" w:line="277" w:lineRule="exact"/>
        <w:ind w:left="40" w:right="0" w:firstLine="0"/>
      </w:pPr>
      <w:r>
        <w:rPr>
          <w:lang w:val="ru-RU" w:eastAsia="ru-RU" w:bidi="ru-RU"/>
          <w:w w:val="100"/>
          <w:spacing w:val="0"/>
          <w:color w:val="000000"/>
          <w:position w:val="0"/>
        </w:rPr>
        <w:t>Центральным банком Российской Федерации на дату уплаты пени.</w:t>
      </w:r>
    </w:p>
    <w:p>
      <w:pPr>
        <w:pStyle w:val="Style13"/>
        <w:tabs>
          <w:tab w:leader="none" w:pos="1392" w:val="left"/>
          <w:tab w:leader="none" w:pos="1691" w:val="left"/>
          <w:tab w:leader="none" w:pos="4125" w:val="right"/>
          <w:tab w:leader="none" w:pos="4780" w:val="right"/>
          <w:tab w:leader="none" w:pos="4956" w:val="left"/>
          <w:tab w:leader="none" w:pos="6918" w:val="center"/>
          <w:tab w:leader="none" w:pos="9694" w:val="right"/>
        </w:tabs>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При К, равном 100 процентам и более, размер ставки определяется за каждый день просрочки</w:t>
        <w:tab/>
        <w:t>и</w:t>
        <w:tab/>
        <w:t>принимается</w:t>
        <w:tab/>
        <w:t>равным</w:t>
        <w:tab/>
        <w:t>0,03</w:t>
        <w:tab/>
        <w:t>ставки</w:t>
        <w:tab/>
        <w:t>рефинансирования,</w:t>
        <w:tab/>
        <w:t>установленной</w:t>
      </w:r>
    </w:p>
    <w:p>
      <w:pPr>
        <w:pStyle w:val="Style13"/>
        <w:widowControl w:val="0"/>
        <w:keepNext w:val="0"/>
        <w:keepLines w:val="0"/>
        <w:shd w:val="clear" w:color="auto" w:fill="auto"/>
        <w:bidi w:val="0"/>
        <w:jc w:val="left"/>
        <w:spacing w:before="0" w:after="0" w:line="277" w:lineRule="exact"/>
        <w:ind w:left="40" w:right="0" w:firstLine="0"/>
      </w:pPr>
      <w:r>
        <w:rPr>
          <w:lang w:val="ru-RU" w:eastAsia="ru-RU" w:bidi="ru-RU"/>
          <w:w w:val="100"/>
          <w:spacing w:val="0"/>
          <w:color w:val="000000"/>
          <w:position w:val="0"/>
        </w:rPr>
        <w:t>Центральным банком Российской Федерации на дату уплаты пени.».</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 xml:space="preserve">К закупкам по Закону о контраткной системе после 9 сентября 2017 года применяются новые правила определения размера неустойки (далее — Правила), утвержденные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В пункте 10 указанных выше Правил установлено следующее: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 xml:space="preserve">Заказчиком для определения размера пени в случае просрочки исполнения поставщиком (исполнителем, подрядчиком) обязательства, предусмотренного контрактом, приведена формула для расчета, однако действующие Правила, утвержденные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 не предусматривают формулу расчета и содержат конкретное указание на размер пени в виде 1/300 ставки рефинансирования.</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Согласно части 4 статьи 34 Закона о контраткной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В силу части 5 статьи 34 Закона о контраткной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Частью 7 статьи 34 Закона о контраткной системе установлено, что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 xml:space="preserve">Таким образом, Комиссией Управления в действиях Заказчика установлено нарушение части 3 статьи 7 Закона о контрактной системе, пункта 10 Правил, утвержденных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 в части определения размера размера пени, начисляемой за каждый день просрочки исполнения поставщиком (подрядчиком, исполнителем) обязательства, предусмотренного контрактом, а также части 4 и 7 статьи 34 Закона о контраткной системе.</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Согласно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widowControl w:val="0"/>
        <w:keepNext w:val="0"/>
        <w:keepLines w:val="0"/>
        <w:shd w:val="clear" w:color="auto" w:fill="auto"/>
        <w:bidi w:val="0"/>
        <w:spacing w:before="0" w:after="0" w:line="277" w:lineRule="exact"/>
        <w:ind w:left="40" w:right="40" w:firstLine="700"/>
      </w:pPr>
      <w:r>
        <w:rPr>
          <w:lang w:val="ru-RU" w:eastAsia="ru-RU" w:bidi="ru-RU"/>
          <w:w w:val="100"/>
          <w:spacing w:val="0"/>
          <w:color w:val="000000"/>
          <w:position w:val="0"/>
        </w:rPr>
        <w:t>Таким образом, Комиссия Управления приходит к выводу о необходимости выдачи обязательного для исполнения предписания об устранении выявленных нарушений.</w:t>
      </w:r>
    </w:p>
    <w:p>
      <w:pPr>
        <w:pStyle w:val="Style13"/>
        <w:widowControl w:val="0"/>
        <w:keepNext w:val="0"/>
        <w:keepLines w:val="0"/>
        <w:shd w:val="clear" w:color="auto" w:fill="auto"/>
        <w:bidi w:val="0"/>
        <w:spacing w:before="0" w:after="278" w:line="277" w:lineRule="exact"/>
        <w:ind w:left="40" w:right="4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7"/>
        <w:widowControl w:val="0"/>
        <w:keepNext w:val="0"/>
        <w:keepLines w:val="0"/>
        <w:shd w:val="clear" w:color="auto" w:fill="auto"/>
        <w:bidi w:val="0"/>
        <w:spacing w:before="0" w:after="208" w:line="230" w:lineRule="exact"/>
        <w:ind w:left="20" w:right="0" w:firstLine="0"/>
      </w:pPr>
      <w:r>
        <w:rPr>
          <w:lang w:val="ru-RU" w:eastAsia="ru-RU" w:bidi="ru-RU"/>
          <w:w w:val="100"/>
          <w:spacing w:val="0"/>
          <w:color w:val="000000"/>
          <w:position w:val="0"/>
        </w:rPr>
        <w:t>решила</w:t>
      </w:r>
    </w:p>
    <w:p>
      <w:pPr>
        <w:pStyle w:val="Style13"/>
        <w:numPr>
          <w:ilvl w:val="0"/>
          <w:numId w:val="9"/>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Признать жалобу ООО «Перспектива» от 27.10.2017 №1680-ж на действия (бездействие) Заказчика - Администрация сельского поселения Перегребное при проведении электронного аукциона, предметом которого является замена ветхого участка водопровода ж\д. ул. Строителей 25-ул. Шадринская 9-ул.Сибирская-ул.Строителей 27 с. Перегребное (извещение № 0187300004817000032) частично обоснованной.</w:t>
      </w:r>
    </w:p>
    <w:p>
      <w:pPr>
        <w:pStyle w:val="Style13"/>
        <w:numPr>
          <w:ilvl w:val="0"/>
          <w:numId w:val="9"/>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Признать в действиях Заказчика - Администрация сельского поселения Перегребное нарушение части 3 статьи 7 Закона о контрактной системе.</w:t>
      </w:r>
    </w:p>
    <w:p>
      <w:pPr>
        <w:pStyle w:val="Style13"/>
        <w:numPr>
          <w:ilvl w:val="0"/>
          <w:numId w:val="9"/>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Признать в действиях Заказчика - Администрация сельского поселения Перегребное нарушение части 4 и 7 статьи 34 Закона о контраткной системе и пункта 10 Правил, утвержденных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3"/>
        <w:numPr>
          <w:ilvl w:val="0"/>
          <w:numId w:val="9"/>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Выдать Заказчику - Администрация сельского поселения Перегребное обязательное для исполнения предписание.</w:t>
      </w:r>
    </w:p>
    <w:p>
      <w:pPr>
        <w:pStyle w:val="Style13"/>
        <w:numPr>
          <w:ilvl w:val="0"/>
          <w:numId w:val="9"/>
        </w:numPr>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3"/>
        <w:numPr>
          <w:ilvl w:val="0"/>
          <w:numId w:val="9"/>
        </w:numPr>
        <w:widowControl w:val="0"/>
        <w:keepNext w:val="0"/>
        <w:keepLines w:val="0"/>
        <w:shd w:val="clear" w:color="auto" w:fill="auto"/>
        <w:bidi w:val="0"/>
        <w:spacing w:before="0" w:after="275" w:line="274" w:lineRule="exact"/>
        <w:ind w:left="40" w:right="4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 </w:instrText>
      </w:r>
      <w:r>
        <w:fldChar w:fldCharType="separate"/>
      </w:r>
      <w:r>
        <w:rPr>
          <w:rStyle w:val="Hyperlink"/>
          <w:lang w:val="en-US" w:eastAsia="en-US" w:bidi="en-US"/>
          <w:w w:val="100"/>
          <w:spacing w:val="0"/>
          <w:position w:val="0"/>
        </w:rPr>
        <w:t>www.zakupk</w:t>
      </w:r>
      <w:r>
        <w:fldChar w:fldCharType="end"/>
      </w:r>
      <w:r>
        <w:rPr>
          <w:lang w:val="en-US" w:eastAsia="en-US" w:bidi="en-US"/>
          <w:w w:val="100"/>
          <w:spacing w:val="0"/>
          <w:color w:val="000000"/>
          <w:position w:val="0"/>
        </w:rPr>
        <w:t>:</w:t>
      </w:r>
    </w:p>
    <w:p>
      <w:pPr>
        <w:pStyle w:val="Style13"/>
        <w:widowControl w:val="0"/>
        <w:keepNext w:val="0"/>
        <w:keepLines w:val="0"/>
        <w:shd w:val="clear" w:color="auto" w:fill="auto"/>
        <w:bidi w:val="0"/>
        <w:spacing w:before="0" w:after="0" w:line="230" w:lineRule="exact"/>
        <w:ind w:left="4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spacing w:before="0" w:after="166" w:line="230" w:lineRule="exact"/>
        <w:ind w:left="40" w:right="0" w:firstLine="0"/>
      </w:pPr>
      <w:r>
        <w:rPr>
          <w:lang w:val="ru-RU" w:eastAsia="ru-RU" w:bidi="ru-RU"/>
          <w:w w:val="100"/>
          <w:spacing w:val="0"/>
          <w:color w:val="000000"/>
          <w:position w:val="0"/>
        </w:rPr>
        <w:t>Члены Комиссии:</w:t>
      </w:r>
    </w:p>
    <w:p>
      <w:pPr>
        <w:pStyle w:val="Style25"/>
        <w:widowControl w:val="0"/>
        <w:keepNext w:val="0"/>
        <w:keepLines w:val="0"/>
        <w:shd w:val="clear" w:color="auto" w:fill="auto"/>
        <w:bidi w:val="0"/>
        <w:spacing w:before="0" w:after="0"/>
        <w:ind w:left="40" w:right="40"/>
      </w:pPr>
      <w:r>
        <w:rPr>
          <w:rStyle w:val="CharStyle27"/>
        </w:rPr>
        <w:t>Примечание:</w:t>
      </w:r>
      <w:r>
        <w:rPr>
          <w:lang w:val="ru-RU" w:eastAsia="ru-RU" w:bidi="ru-RU"/>
          <w:w w:val="100"/>
          <w:spacing w:val="0"/>
          <w:color w:val="000000"/>
          <w:position w:val="0"/>
        </w:rPr>
        <w:t xml:space="preserve">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r>
        <w:br w:type="page"/>
      </w:r>
    </w:p>
    <w:p>
      <w:pPr>
        <w:pStyle w:val="Style7"/>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Оператор электронной площадки:</w:t>
      </w:r>
    </w:p>
    <w:p>
      <w:pPr>
        <w:pStyle w:val="Style13"/>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ЗАО «Сбербанк - АСТ»</w:t>
      </w:r>
    </w:p>
    <w:p>
      <w:pPr>
        <w:pStyle w:val="Style7"/>
        <w:framePr w:w="4089" w:h="3411" w:wrap="around" w:vAnchor="text" w:hAnchor="margin" w:x="334" w:y="499"/>
        <w:widowControl w:val="0"/>
        <w:keepNext w:val="0"/>
        <w:keepLines w:val="0"/>
        <w:shd w:val="clear" w:color="auto" w:fill="auto"/>
        <w:bidi w:val="0"/>
        <w:spacing w:before="0" w:after="54" w:line="274" w:lineRule="exact"/>
        <w:ind w:left="60" w:right="0" w:firstLine="0"/>
      </w:pPr>
      <w:r>
        <w:rPr>
          <w:rStyle w:val="CharStyle15"/>
          <w:b/>
          <w:bCs/>
          <w:spacing w:val="0"/>
        </w:rPr>
        <w:t>ФЕДЕРАЛЬНАЯ АНТИМОНОПОЛЬНАЯ СЛУЖБА</w:t>
      </w:r>
    </w:p>
    <w:p>
      <w:pPr>
        <w:pStyle w:val="Style7"/>
        <w:framePr w:w="4089" w:h="3411" w:wrap="around" w:vAnchor="text" w:hAnchor="margin" w:x="334" w:y="499"/>
        <w:widowControl w:val="0"/>
        <w:keepNext w:val="0"/>
        <w:keepLines w:val="0"/>
        <w:shd w:val="clear" w:color="auto" w:fill="auto"/>
        <w:bidi w:val="0"/>
        <w:spacing w:before="0" w:after="103"/>
        <w:ind w:left="60" w:right="0" w:firstLine="0"/>
      </w:pPr>
      <w:r>
        <w:rPr>
          <w:rStyle w:val="CharStyle15"/>
          <w:b/>
          <w:bCs/>
          <w:spacing w:val="0"/>
        </w:rPr>
        <w:t>УПРАВЛЕНИЕ Федеральной антимонопольной службы по Ханты-Мансийскому автономному округу - Югре</w:t>
      </w:r>
    </w:p>
    <w:p>
      <w:pPr>
        <w:pStyle w:val="Style5"/>
        <w:framePr w:w="4089" w:h="3411" w:wrap="around" w:vAnchor="text" w:hAnchor="margin" w:x="334" w:y="499"/>
        <w:widowControl w:val="0"/>
        <w:keepNext w:val="0"/>
        <w:keepLines w:val="0"/>
        <w:shd w:val="clear" w:color="auto" w:fill="auto"/>
        <w:bidi w:val="0"/>
        <w:jc w:val="center"/>
        <w:spacing w:before="0" w:after="254" w:line="227" w:lineRule="exact"/>
        <w:ind w:left="60" w:right="0" w:firstLine="0"/>
      </w:pPr>
      <w:r>
        <w:rPr>
          <w:rStyle w:val="CharStyle16"/>
          <w:spacing w:val="0"/>
        </w:rPr>
        <w:t xml:space="preserve">ул. Мира, 27, г. Ханты-Мансийск, 628002 тел. (3467) 38-80-81 </w:t>
      </w:r>
      <w:r>
        <w:rPr>
          <w:rStyle w:val="CharStyle16"/>
          <w:lang w:val="en-US" w:eastAsia="en-US" w:bidi="en-US"/>
          <w:spacing w:val="0"/>
        </w:rPr>
        <w:t xml:space="preserve">e-mail: </w:t>
      </w:r>
      <w:r>
        <w:fldChar w:fldCharType="begin"/>
      </w:r>
      <w:r>
        <w:rPr>
          <w:rStyle w:val="CharStyle17"/>
        </w:rPr>
        <w:instrText> HYPERLINK "mailto:to86@fas.gov.ru" </w:instrText>
      </w:r>
      <w:r>
        <w:fldChar w:fldCharType="separate"/>
      </w:r>
      <w:r>
        <w:rPr>
          <w:rStyle w:val="Hyperlink"/>
          <w:spacing w:val="0"/>
        </w:rPr>
        <w:t>to86@fas.gov.ru</w:t>
      </w:r>
      <w:r>
        <w:fldChar w:fldCharType="end"/>
      </w:r>
    </w:p>
    <w:p>
      <w:pPr>
        <w:pStyle w:val="Style18"/>
        <w:framePr w:w="4089" w:h="3411" w:wrap="around" w:vAnchor="text" w:hAnchor="margin" w:x="334" w:y="499"/>
        <w:widowControl w:val="0"/>
        <w:keepNext w:val="0"/>
        <w:keepLines w:val="0"/>
        <w:shd w:val="clear" w:color="auto" w:fill="auto"/>
        <w:bidi w:val="0"/>
        <w:jc w:val="left"/>
        <w:spacing w:before="0" w:after="0" w:line="210" w:lineRule="exact"/>
        <w:ind w:left="260" w:right="0" w:firstLine="0"/>
      </w:pPr>
      <w:r>
        <w:rPr>
          <w:rStyle w:val="CharStyle20"/>
        </w:rPr>
        <w:t>С</w:t>
      </w:r>
      <w:r>
        <w:rPr>
          <w:rStyle w:val="CharStyle21"/>
          <w:spacing w:val="0"/>
        </w:rPr>
        <w:t>Т-- 44</w:t>
      </w:r>
      <w:r>
        <w:rPr>
          <w:rStyle w:val="CharStyle22"/>
          <w:lang w:val="ru-RU" w:eastAsia="ru-RU" w:bidi="ru-RU"/>
          <w:spacing w:val="0"/>
        </w:rPr>
        <w:t xml:space="preserve">.2017 № </w:t>
      </w:r>
      <w:r>
        <w:rPr>
          <w:rStyle w:val="CharStyle22"/>
          <w:spacing w:val="0"/>
        </w:rPr>
        <w:t>03/AM-g£54</w:t>
      </w:r>
    </w:p>
    <w:p>
      <w:pPr>
        <w:pStyle w:val="Style13"/>
        <w:widowControl w:val="0"/>
        <w:keepNext w:val="0"/>
        <w:keepLines w:val="0"/>
        <w:shd w:val="clear" w:color="auto" w:fill="auto"/>
        <w:bidi w:val="0"/>
        <w:jc w:val="right"/>
        <w:spacing w:before="0" w:after="0" w:line="274" w:lineRule="exact"/>
        <w:ind w:left="20" w:right="20" w:firstLine="0"/>
      </w:pPr>
      <w:r>
        <w:rPr>
          <w:lang w:val="ru-RU" w:eastAsia="ru-RU" w:bidi="ru-RU"/>
          <w:w w:val="100"/>
          <w:spacing w:val="0"/>
          <w:color w:val="000000"/>
          <w:position w:val="0"/>
        </w:rPr>
        <w:t>119435, г. Москва, Большой Саввинский переулок, дом 12, строение 9 Тел.: (495) 787-29-99/97 доб. 369,</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Факс: (495) 787-29-98 </w:t>
      </w:r>
      <w:r>
        <w:rPr>
          <w:lang w:val="en-US" w:eastAsia="en-US" w:bidi="en-US"/>
          <w:w w:val="100"/>
          <w:spacing w:val="0"/>
          <w:color w:val="000000"/>
          <w:position w:val="0"/>
        </w:rPr>
        <w:t xml:space="preserve">e-mail: </w:t>
      </w:r>
      <w:r>
        <w:fldChar w:fldCharType="begin"/>
      </w:r>
      <w:r>
        <w:rPr>
          <w:rStyle w:val="CharStyle24"/>
        </w:rPr>
        <w:instrText> HYPERLINK "mailto:ko@sberbank-ast.ru" </w:instrText>
      </w:r>
      <w:r>
        <w:fldChar w:fldCharType="separate"/>
      </w:r>
      <w:r>
        <w:rPr>
          <w:rStyle w:val="Hyperlink"/>
        </w:rPr>
        <w:t>ko@sberbank-ast.ru</w:t>
      </w:r>
      <w:r>
        <w:fldChar w:fldCharType="end"/>
      </w:r>
      <w:r>
        <w:rPr>
          <w:lang w:val="en-US" w:eastAsia="en-US" w:bidi="en-US"/>
          <w:w w:val="100"/>
          <w:spacing w:val="0"/>
          <w:color w:val="000000"/>
          <w:position w:val="0"/>
        </w:rPr>
        <w:t xml:space="preserve"> </w:t>
      </w:r>
      <w:r>
        <w:rPr>
          <w:rStyle w:val="CharStyle28"/>
        </w:rPr>
        <w:t>Заявитель:</w:t>
      </w:r>
    </w:p>
    <w:p>
      <w:pPr>
        <w:pStyle w:val="Style13"/>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ООО «Перспектива»</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443099, г.Самара, ул.Куйбышева, 79, 64 Тел.: (987) 8914800 </w:t>
      </w:r>
      <w:r>
        <w:rPr>
          <w:lang w:val="en-US" w:eastAsia="en-US" w:bidi="en-US"/>
          <w:w w:val="100"/>
          <w:spacing w:val="0"/>
          <w:color w:val="000000"/>
          <w:position w:val="0"/>
        </w:rPr>
        <w:t xml:space="preserve">e-mail: </w:t>
      </w:r>
      <w:r>
        <w:fldChar w:fldCharType="begin"/>
      </w:r>
      <w:r>
        <w:rPr>
          <w:rStyle w:val="CharStyle24"/>
        </w:rPr>
        <w:instrText> HYPERLINK "mailto:pers-tender@mail.ru" </w:instrText>
      </w:r>
      <w:r>
        <w:fldChar w:fldCharType="separate"/>
      </w:r>
      <w:r>
        <w:rPr>
          <w:rStyle w:val="Hyperlink"/>
        </w:rPr>
        <w:t>pers-tender@mail.ru</w:t>
      </w:r>
      <w:r>
        <w:fldChar w:fldCharType="end"/>
      </w:r>
      <w:r>
        <w:rPr>
          <w:lang w:val="en-US" w:eastAsia="en-US" w:bidi="en-US"/>
          <w:w w:val="100"/>
          <w:spacing w:val="0"/>
          <w:color w:val="000000"/>
          <w:position w:val="0"/>
        </w:rPr>
        <w:t xml:space="preserve"> </w:t>
      </w:r>
      <w:r>
        <w:rPr>
          <w:rStyle w:val="CharStyle28"/>
        </w:rPr>
        <w:t>Заказчик:</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Муниципальное образование сельское поселение Перегребное Место нахождения, почтовый адрес:</w:t>
      </w:r>
    </w:p>
    <w:p>
      <w:pPr>
        <w:pStyle w:val="Style13"/>
        <w:widowControl w:val="0"/>
        <w:keepNext w:val="0"/>
        <w:keepLines w:val="0"/>
        <w:shd w:val="clear" w:color="auto" w:fill="auto"/>
        <w:bidi w:val="0"/>
        <w:jc w:val="left"/>
        <w:spacing w:before="0" w:after="206" w:line="274" w:lineRule="exact"/>
        <w:ind w:left="4900" w:right="20"/>
      </w:pPr>
      <w:r>
        <w:rPr>
          <w:lang w:val="ru-RU" w:eastAsia="ru-RU" w:bidi="ru-RU"/>
          <w:w w:val="100"/>
          <w:spacing w:val="0"/>
          <w:color w:val="000000"/>
          <w:position w:val="0"/>
        </w:rPr>
        <w:t xml:space="preserve">628109, Ханты-Мансийский автономный округ - Югра, Октябрьский район, с. Перегребное, ул. Советская, д. 3 </w:t>
      </w:r>
      <w:r>
        <w:rPr>
          <w:lang w:val="en-US" w:eastAsia="en-US" w:bidi="en-US"/>
          <w:w w:val="100"/>
          <w:spacing w:val="0"/>
          <w:color w:val="000000"/>
          <w:position w:val="0"/>
        </w:rPr>
        <w:t xml:space="preserve">E-mail: </w:t>
      </w:r>
      <w:r>
        <w:fldChar w:fldCharType="begin"/>
      </w:r>
      <w:r>
        <w:rPr>
          <w:color w:val="000000"/>
        </w:rPr>
        <w:instrText> HYPERLINK "mailto:bux64581@mail.ru" </w:instrText>
      </w:r>
      <w:r>
        <w:fldChar w:fldCharType="separate"/>
      </w:r>
      <w:r>
        <w:rPr>
          <w:rStyle w:val="Hyperlink"/>
          <w:lang w:val="en-US" w:eastAsia="en-US" w:bidi="en-US"/>
          <w:w w:val="100"/>
          <w:spacing w:val="0"/>
          <w:position w:val="0"/>
        </w:rPr>
        <w:t>bux64581@mail.ru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 (34678) 38-071</w:t>
      </w:r>
    </w:p>
    <w:p>
      <w:pPr>
        <w:pStyle w:val="Style7"/>
        <w:widowControl w:val="0"/>
        <w:keepNext w:val="0"/>
        <w:keepLines w:val="0"/>
        <w:shd w:val="clear" w:color="auto" w:fill="auto"/>
        <w:bidi w:val="0"/>
        <w:jc w:val="left"/>
        <w:spacing w:before="0" w:after="237" w:line="317" w:lineRule="exact"/>
        <w:ind w:left="2420" w:right="2440" w:firstLine="1260"/>
      </w:pPr>
      <w:r>
        <w:rPr>
          <w:lang w:val="ru-RU" w:eastAsia="ru-RU" w:bidi="ru-RU"/>
          <w:w w:val="100"/>
          <w:spacing w:val="0"/>
          <w:color w:val="000000"/>
          <w:position w:val="0"/>
        </w:rPr>
        <w:t>ПРЕДПИСАНИЕ об устранении нарушений законодательства</w:t>
      </w:r>
    </w:p>
    <w:p>
      <w:pPr>
        <w:pStyle w:val="Style13"/>
        <w:tabs>
          <w:tab w:leader="none" w:pos="7782" w:val="right"/>
          <w:tab w:leader="none" w:pos="9643"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Резолютивная часть объявлена 03.11.2017</w:t>
        <w:tab/>
        <w:t>г.</w:t>
        <w:tab/>
        <w:t>Ханты-Мансийск</w:t>
      </w:r>
    </w:p>
    <w:p>
      <w:pPr>
        <w:pStyle w:val="Style13"/>
        <w:widowControl w:val="0"/>
        <w:keepNext w:val="0"/>
        <w:keepLines w:val="0"/>
        <w:shd w:val="clear" w:color="auto" w:fill="auto"/>
        <w:bidi w:val="0"/>
        <w:spacing w:before="0" w:after="246" w:line="320" w:lineRule="exact"/>
        <w:ind w:left="20" w:right="0" w:firstLine="0"/>
      </w:pPr>
      <w:r>
        <w:rPr>
          <w:lang w:val="ru-RU" w:eastAsia="ru-RU" w:bidi="ru-RU"/>
          <w:w w:val="100"/>
          <w:spacing w:val="0"/>
          <w:color w:val="000000"/>
          <w:position w:val="0"/>
        </w:rPr>
        <w:t>Изготовлено в полном объеме 07.11.2017</w:t>
      </w:r>
    </w:p>
    <w:p>
      <w:pPr>
        <w:pStyle w:val="Style13"/>
        <w:widowControl w:val="0"/>
        <w:keepNext w:val="0"/>
        <w:keepLines w:val="0"/>
        <w:shd w:val="clear" w:color="auto" w:fill="auto"/>
        <w:bidi w:val="0"/>
        <w:spacing w:before="0" w:after="269" w:line="313"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13"/>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Председателя комиссии:</w:t>
      </w:r>
    </w:p>
    <w:p>
      <w:pPr>
        <w:pStyle w:val="Style13"/>
        <w:numPr>
          <w:ilvl w:val="0"/>
          <w:numId w:val="1"/>
        </w:numPr>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 xml:space="preserve"> Миронов А.Г. - Заместитель руководителя Управления;</w:t>
      </w:r>
    </w:p>
    <w:p>
      <w:pPr>
        <w:pStyle w:val="Style13"/>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А.Н. Плеханов — Начальник отдела Управления;</w:t>
      </w:r>
    </w:p>
    <w:p>
      <w:pPr>
        <w:pStyle w:val="Style13"/>
        <w:numPr>
          <w:ilvl w:val="0"/>
          <w:numId w:val="1"/>
        </w:numPr>
        <w:widowControl w:val="0"/>
        <w:keepNext w:val="0"/>
        <w:keepLines w:val="0"/>
        <w:shd w:val="clear" w:color="auto" w:fill="auto"/>
        <w:bidi w:val="0"/>
        <w:spacing w:before="0" w:after="208" w:line="277" w:lineRule="exact"/>
        <w:ind w:left="20" w:right="0" w:firstLine="700"/>
      </w:pPr>
      <w:r>
        <w:rPr>
          <w:lang w:val="ru-RU" w:eastAsia="ru-RU" w:bidi="ru-RU"/>
          <w:w w:val="100"/>
          <w:spacing w:val="0"/>
          <w:color w:val="000000"/>
          <w:position w:val="0"/>
        </w:rPr>
        <w:t xml:space="preserve"> Воронцова А.Ю. - Эксперт отдела Управления.</w:t>
      </w:r>
    </w:p>
    <w:p>
      <w:pPr>
        <w:pStyle w:val="Style13"/>
        <w:widowControl w:val="0"/>
        <w:keepNext w:val="0"/>
        <w:keepLines w:val="0"/>
        <w:shd w:val="clear" w:color="auto" w:fill="auto"/>
        <w:bidi w:val="0"/>
        <w:spacing w:before="0" w:after="310" w:line="317" w:lineRule="exact"/>
        <w:ind w:left="20" w:right="20" w:firstLine="700"/>
      </w:pPr>
      <w:r>
        <w:rPr>
          <w:lang w:val="ru-RU" w:eastAsia="ru-RU" w:bidi="ru-RU"/>
          <w:w w:val="100"/>
          <w:spacing w:val="0"/>
          <w:color w:val="000000"/>
          <w:position w:val="0"/>
        </w:rPr>
        <w:t>на основании своего решения от 03.11.2017 о рассмотрении жалобы ООО «Перспектива» от 27.10.2017 №1680-ж на действия (бездействие) Заказчика - Администрация сельского поселения Перегребное при проведении электронного аукциона, предметом которого является замена ветхого участка водопровода ж\д. ул. Строителей 25-ул. Шадринская 9-ул.Сибирская-ул.Строителей 27 с. Перегребное (извещение № 0187300004817000032), руководствуясь положениями статьи 99,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7"/>
        <w:widowControl w:val="0"/>
        <w:keepNext w:val="0"/>
        <w:keepLines w:val="0"/>
        <w:shd w:val="clear" w:color="auto" w:fill="auto"/>
        <w:bidi w:val="0"/>
        <w:jc w:val="left"/>
        <w:spacing w:before="0" w:after="0" w:line="230" w:lineRule="exact"/>
        <w:ind w:left="4140" w:right="0" w:firstLine="0"/>
      </w:pPr>
      <w:r>
        <w:rPr>
          <w:lang w:val="ru-RU" w:eastAsia="ru-RU" w:bidi="ru-RU"/>
          <w:w w:val="100"/>
          <w:spacing w:val="0"/>
          <w:color w:val="000000"/>
          <w:position w:val="0"/>
        </w:rPr>
        <w:t>ПРЕДПИСЫВАЕТ:</w:t>
      </w:r>
      <w:r>
        <w:br w:type="page"/>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Заказчику - Администрация сельского поселения Перегребное совершить следующие действия:</w:t>
      </w:r>
    </w:p>
    <w:p>
      <w:pPr>
        <w:pStyle w:val="Style13"/>
        <w:numPr>
          <w:ilvl w:val="0"/>
          <w:numId w:val="11"/>
        </w:numPr>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При направлении проекта контракта победителю электронного аукциона, предметом которого является замена ветхого участка водопровода ж\д. ул. Строителей 25-ул. Шадринская 9-ул.Сибирская-ул.Строителей 27 с. Перегребное (извещение № 0187300004817000032):</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 привести пункт 8.3 проекта контракта в соответствии с требованиями части 4 и 7 статьи 34 Закона о контрактной системе, а также пункта 10 Правил, утвержденных Постановлением Правительства РФ от 30.08.2017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3"/>
        <w:numPr>
          <w:ilvl w:val="0"/>
          <w:numId w:val="11"/>
        </w:numPr>
        <w:widowControl w:val="0"/>
        <w:keepNext w:val="0"/>
        <w:keepLines w:val="0"/>
        <w:shd w:val="clear" w:color="auto" w:fill="auto"/>
        <w:bidi w:val="0"/>
        <w:spacing w:before="0" w:after="58" w:line="317" w:lineRule="exact"/>
        <w:ind w:left="20" w:right="20" w:firstLine="700"/>
      </w:pPr>
      <w:r>
        <w:rPr>
          <w:lang w:val="ru-RU" w:eastAsia="ru-RU" w:bidi="ru-RU"/>
          <w:w w:val="100"/>
          <w:spacing w:val="0"/>
          <w:color w:val="000000"/>
          <w:position w:val="0"/>
        </w:rPr>
        <w:t xml:space="preserve"> В течение десяти дней после заключения контракта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w:t>
      </w:r>
    </w:p>
    <w:p>
      <w:pPr>
        <w:pStyle w:val="Style13"/>
        <w:tabs>
          <w:tab w:leader="none" w:pos="6158" w:val="left"/>
        </w:tabs>
        <w:widowControl w:val="0"/>
        <w:keepNext w:val="0"/>
        <w:keepLines w:val="0"/>
        <w:shd w:val="clear" w:color="auto" w:fill="auto"/>
        <w:bidi w:val="0"/>
        <w:spacing w:before="0" w:after="0" w:line="619" w:lineRule="exact"/>
        <w:ind w:left="20" w:right="0" w:firstLine="0"/>
      </w:pPr>
      <w:r>
        <w:rPr>
          <w:lang w:val="ru-RU" w:eastAsia="ru-RU" w:bidi="ru-RU"/>
          <w:w w:val="100"/>
          <w:spacing w:val="0"/>
          <w:color w:val="000000"/>
          <w:position w:val="0"/>
        </w:rPr>
        <w:t>Председатель Комиссии</w:t>
        <w:tab/>
      </w:r>
      <w:r>
        <w:rPr>
          <w:rStyle w:val="CharStyle29"/>
        </w:rPr>
        <w:t>/ЗтлЖ</w:t>
      </w:r>
      <w:r>
        <w:rPr>
          <w:rStyle w:val="CharStyle30"/>
        </w:rPr>
        <w:t xml:space="preserve"> Л </w:t>
      </w:r>
      <w:r>
        <w:rPr>
          <w:lang w:val="ru-RU" w:eastAsia="ru-RU" w:bidi="ru-RU"/>
          <w:w w:val="100"/>
          <w:spacing w:val="0"/>
          <w:color w:val="000000"/>
          <w:position w:val="0"/>
        </w:rPr>
        <w:t>А.Г. Миронов</w:t>
      </w:r>
    </w:p>
    <w:p>
      <w:pPr>
        <w:pStyle w:val="Style13"/>
        <w:tabs>
          <w:tab w:leader="none" w:pos="5960" w:val="left"/>
          <w:tab w:leader="none" w:pos="7519" w:val="center"/>
          <w:tab w:leader="none" w:pos="8422" w:val="right"/>
          <w:tab w:leader="none" w:pos="8988" w:val="center"/>
        </w:tabs>
        <w:widowControl w:val="0"/>
        <w:keepNext w:val="0"/>
        <w:keepLines w:val="0"/>
        <w:shd w:val="clear" w:color="auto" w:fill="auto"/>
        <w:bidi w:val="0"/>
        <w:spacing w:before="0" w:after="0" w:line="619" w:lineRule="exact"/>
        <w:ind w:left="20" w:right="0" w:firstLine="0"/>
      </w:pPr>
      <w:r>
        <w:rPr>
          <w:lang w:val="ru-RU" w:eastAsia="ru-RU" w:bidi="ru-RU"/>
          <w:w w:val="100"/>
          <w:spacing w:val="0"/>
          <w:color w:val="000000"/>
          <w:position w:val="0"/>
        </w:rPr>
        <w:t>Члены Комиссии:</w:t>
        <w:tab/>
      </w:r>
      <w:r>
        <w:rPr>
          <w:rStyle w:val="CharStyle31"/>
        </w:rPr>
        <w:t>/ (</w:t>
        <w:tab/>
        <w:t>/Ж</w:t>
      </w:r>
      <w:r>
        <w:rPr>
          <w:rStyle w:val="CharStyle32"/>
          <w:lang w:val="ru-RU" w:eastAsia="ru-RU" w:bidi="ru-RU"/>
        </w:rPr>
        <w:tab/>
      </w:r>
      <w:r>
        <w:rPr>
          <w:lang w:val="ru-RU" w:eastAsia="ru-RU" w:bidi="ru-RU"/>
          <w:w w:val="100"/>
          <w:spacing w:val="0"/>
          <w:color w:val="000000"/>
          <w:position w:val="0"/>
        </w:rPr>
        <w:t>А.Н.</w:t>
        <w:tab/>
        <w:t>Плеханов</w:t>
      </w:r>
    </w:p>
    <w:p>
      <w:pPr>
        <w:pStyle w:val="Style13"/>
        <w:widowControl w:val="0"/>
        <w:keepNext w:val="0"/>
        <w:keepLines w:val="0"/>
        <w:shd w:val="clear" w:color="auto" w:fill="auto"/>
        <w:bidi w:val="0"/>
        <w:spacing w:before="0" w:after="255" w:line="230" w:lineRule="exact"/>
        <w:ind w:left="20" w:right="0" w:firstLine="0"/>
      </w:pPr>
      <w:r>
        <w:rPr>
          <w:lang w:val="ru-RU" w:eastAsia="ru-RU" w:bidi="ru-RU"/>
          <w:w w:val="100"/>
          <w:spacing w:val="0"/>
          <w:color w:val="000000"/>
          <w:position w:val="0"/>
        </w:rPr>
        <w:t>А.Ю. Воронцова</w:t>
      </w:r>
    </w:p>
    <w:p>
      <w:pPr>
        <w:pStyle w:val="Style3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За невыполнение в установленный срок законного предписания антимонопольного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3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Примечание: предписание может быть обжаловано в судебном порядке в течение трех месяцев со дня его принятия.</w:t>
      </w:r>
    </w:p>
    <w:sectPr>
      <w:type w:val="continuous"/>
      <w:pgSz w:w="11906" w:h="16838"/>
      <w:pgMar w:top="917" w:left="1089" w:right="1093" w:bottom="9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3)"/>
    <w:basedOn w:val="CharStyle6"/>
    <w:rPr>
      <w:lang w:val="en-US" w:eastAsia="en-US" w:bidi="en-US"/>
      <w:u w:val="single"/>
      <w:w w:val="100"/>
      <w:spacing w:val="0"/>
      <w:color w:val="000000"/>
      <w:position w:val="0"/>
    </w:rPr>
  </w:style>
  <w:style w:type="character" w:customStyle="1" w:styleId="CharStyle12">
    <w:name w:val="Основной текст (3)"/>
    <w:basedOn w:val="CharStyle6"/>
    <w:rPr>
      <w:lang w:val="ru-RU" w:eastAsia="ru-RU" w:bidi="ru-RU"/>
      <w:u w:val="single"/>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5">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16">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17">
    <w:name w:val="Основной текст (3) Exact"/>
    <w:basedOn w:val="CharStyle6"/>
    <w:rPr>
      <w:lang w:val="en-US" w:eastAsia="en-US" w:bidi="en-US"/>
      <w:u w:val="single"/>
      <w:sz w:val="18"/>
      <w:szCs w:val="18"/>
      <w:w w:val="100"/>
      <w:spacing w:val="5"/>
      <w:color w:val="000000"/>
      <w:position w:val="0"/>
    </w:rPr>
  </w:style>
  <w:style w:type="character" w:customStyle="1" w:styleId="CharStyle19">
    <w:name w:val="Основной текст (6) Exact"/>
    <w:basedOn w:val="DefaultParagraphFont"/>
    <w:link w:val="Style18"/>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20">
    <w:name w:val="Основной текст (6) + Курсив,Интервал 0 pt Exact"/>
    <w:basedOn w:val="CharStyle19"/>
    <w:rPr>
      <w:lang w:val="ru-RU" w:eastAsia="ru-RU" w:bidi="ru-RU"/>
      <w:i/>
      <w:iCs/>
      <w:u w:val="single"/>
      <w:w w:val="100"/>
      <w:spacing w:val="0"/>
      <w:color w:val="000000"/>
      <w:position w:val="0"/>
    </w:rPr>
  </w:style>
  <w:style w:type="character" w:customStyle="1" w:styleId="CharStyle21">
    <w:name w:val="Основной текст (6) Exact"/>
    <w:basedOn w:val="CharStyle19"/>
    <w:rPr>
      <w:lang w:val="ru-RU" w:eastAsia="ru-RU" w:bidi="ru-RU"/>
      <w:u w:val="single"/>
      <w:w w:val="100"/>
      <w:color w:val="000000"/>
      <w:position w:val="0"/>
    </w:rPr>
  </w:style>
  <w:style w:type="character" w:customStyle="1" w:styleId="CharStyle22">
    <w:name w:val="Основной текст (6) Exact"/>
    <w:basedOn w:val="CharStyle19"/>
    <w:rPr>
      <w:lang w:val="en-US" w:eastAsia="en-US" w:bidi="en-US"/>
      <w:u w:val="single"/>
      <w:w w:val="100"/>
      <w:color w:val="000000"/>
      <w:position w:val="0"/>
    </w:rPr>
  </w:style>
  <w:style w:type="character" w:customStyle="1" w:styleId="CharStyle23">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w:basedOn w:val="CharStyle23"/>
    <w:rPr>
      <w:lang w:val="en-US" w:eastAsia="en-US" w:bidi="en-US"/>
      <w:u w:val="single"/>
      <w:w w:val="100"/>
      <w:spacing w:val="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15"/>
      <w:szCs w:val="15"/>
      <w:rFonts w:ascii="Times New Roman" w:eastAsia="Times New Roman" w:hAnsi="Times New Roman" w:cs="Times New Roman"/>
    </w:rPr>
  </w:style>
  <w:style w:type="character" w:customStyle="1" w:styleId="CharStyle27">
    <w:name w:val="Основной текст (5) + Курсив"/>
    <w:basedOn w:val="CharStyle26"/>
    <w:rPr>
      <w:lang w:val="ru-RU" w:eastAsia="ru-RU" w:bidi="ru-RU"/>
      <w:i/>
      <w:iCs/>
      <w:w w:val="100"/>
      <w:spacing w:val="0"/>
      <w:color w:val="000000"/>
      <w:position w:val="0"/>
    </w:rPr>
  </w:style>
  <w:style w:type="character" w:customStyle="1" w:styleId="CharStyle28">
    <w:name w:val="Основной текст + Полужирный"/>
    <w:basedOn w:val="CharStyle23"/>
    <w:rPr>
      <w:lang w:val="ru-RU" w:eastAsia="ru-RU" w:bidi="ru-RU"/>
      <w:b/>
      <w:bCs/>
      <w:w w:val="100"/>
      <w:spacing w:val="0"/>
      <w:color w:val="000000"/>
      <w:position w:val="0"/>
    </w:rPr>
  </w:style>
  <w:style w:type="character" w:customStyle="1" w:styleId="CharStyle29">
    <w:name w:val="Основной текст + 15 pt,Курсив,Интервал -1 pt"/>
    <w:basedOn w:val="CharStyle23"/>
    <w:rPr>
      <w:lang w:val="ru-RU" w:eastAsia="ru-RU" w:bidi="ru-RU"/>
      <w:i/>
      <w:iCs/>
      <w:sz w:val="30"/>
      <w:szCs w:val="30"/>
      <w:w w:val="100"/>
      <w:spacing w:val="-20"/>
      <w:color w:val="000000"/>
      <w:position w:val="0"/>
    </w:rPr>
  </w:style>
  <w:style w:type="character" w:customStyle="1" w:styleId="CharStyle30">
    <w:name w:val="Основной текст"/>
    <w:basedOn w:val="CharStyle23"/>
    <w:rPr>
      <w:lang w:val="ru-RU" w:eastAsia="ru-RU" w:bidi="ru-RU"/>
      <w:w w:val="100"/>
      <w:spacing w:val="0"/>
      <w:color w:val="000000"/>
      <w:position w:val="0"/>
    </w:rPr>
  </w:style>
  <w:style w:type="character" w:customStyle="1" w:styleId="CharStyle31">
    <w:name w:val="Основной текст + Arial Narrow,16 pt,Полужирный,Курсив"/>
    <w:basedOn w:val="CharStyle23"/>
    <w:rPr>
      <w:lang w:val="ru-RU" w:eastAsia="ru-RU" w:bidi="ru-RU"/>
      <w:b/>
      <w:bCs/>
      <w:i/>
      <w:iCs/>
      <w:sz w:val="32"/>
      <w:szCs w:val="32"/>
      <w:rFonts w:ascii="Arial Narrow" w:eastAsia="Arial Narrow" w:hAnsi="Arial Narrow" w:cs="Arial Narrow"/>
      <w:w w:val="100"/>
      <w:spacing w:val="0"/>
      <w:color w:val="000000"/>
      <w:position w:val="0"/>
    </w:rPr>
  </w:style>
  <w:style w:type="character" w:customStyle="1" w:styleId="CharStyle32">
    <w:name w:val="Основной текст + 18 pt"/>
    <w:basedOn w:val="CharStyle23"/>
    <w:rPr>
      <w:lang w:val="1024"/>
      <w:sz w:val="36"/>
      <w:szCs w:val="36"/>
      <w:w w:val="100"/>
      <w:spacing w:val="0"/>
      <w:color w:val="000000"/>
      <w:position w:val="0"/>
    </w:rPr>
  </w:style>
  <w:style w:type="character" w:customStyle="1" w:styleId="CharStyle34">
    <w:name w:val="Основной текст (7)_"/>
    <w:basedOn w:val="DefaultParagraphFont"/>
    <w:link w:val="Style33"/>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line="25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line="25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6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w:basedOn w:val="Normal"/>
    <w:link w:val="CharStyle23"/>
    <w:pPr>
      <w:widowControl w:val="0"/>
      <w:shd w:val="clear" w:color="auto" w:fill="FFFFFF"/>
      <w:jc w:val="both"/>
      <w:spacing w:after="60" w:line="0" w:lineRule="exact"/>
      <w:ind w:hanging="4900"/>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before="240" w:line="0" w:lineRule="exact"/>
    </w:pPr>
    <w:rPr>
      <w:b w:val="0"/>
      <w:bCs w:val="0"/>
      <w:i w:val="0"/>
      <w:iCs w:val="0"/>
      <w:u w:val="none"/>
      <w:strike w:val="0"/>
      <w:smallCaps w:val="0"/>
      <w:sz w:val="21"/>
      <w:szCs w:val="21"/>
      <w:rFonts w:ascii="Times New Roman" w:eastAsia="Times New Roman" w:hAnsi="Times New Roman" w:cs="Times New Roman"/>
      <w:spacing w:val="9"/>
    </w:rPr>
  </w:style>
  <w:style w:type="paragraph" w:customStyle="1" w:styleId="Style25">
    <w:name w:val="Основной текст (5)"/>
    <w:basedOn w:val="Normal"/>
    <w:link w:val="CharStyle26"/>
    <w:pPr>
      <w:widowControl w:val="0"/>
      <w:shd w:val="clear" w:color="auto" w:fill="FFFFFF"/>
      <w:jc w:val="both"/>
      <w:spacing w:before="240" w:line="184" w:lineRule="exact"/>
      <w:ind w:firstLine="700"/>
    </w:pPr>
    <w:rPr>
      <w:b w:val="0"/>
      <w:bCs w:val="0"/>
      <w:i w:val="0"/>
      <w:iCs w:val="0"/>
      <w:u w:val="none"/>
      <w:strike w:val="0"/>
      <w:smallCaps w:val="0"/>
      <w:sz w:val="15"/>
      <w:szCs w:val="15"/>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before="180" w:line="248" w:lineRule="exact"/>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